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6D378" w14:textId="77777777" w:rsidR="00B22AB4" w:rsidRDefault="00B22AB4">
      <w:pPr>
        <w:rPr>
          <w:rFonts w:ascii="Arial" w:hAnsi="Arial" w:cs="Arial"/>
          <w:sz w:val="18"/>
          <w:szCs w:val="18"/>
        </w:rPr>
      </w:pPr>
    </w:p>
    <w:p w14:paraId="14273732" w14:textId="77777777" w:rsidR="000F5598" w:rsidRPr="0074653D" w:rsidRDefault="000F5598" w:rsidP="000F5598">
      <w:pPr>
        <w:widowControl w:val="0"/>
        <w:adjustRightInd w:val="0"/>
        <w:jc w:val="center"/>
        <w:outlineLvl w:val="0"/>
        <w:rPr>
          <w:rFonts w:ascii="Verdana" w:hAnsi="Verdana" w:cs="Arial"/>
          <w:b/>
          <w:bCs/>
          <w:lang w:val="es-CO"/>
        </w:rPr>
      </w:pPr>
      <w:r w:rsidRPr="0074653D">
        <w:rPr>
          <w:rFonts w:ascii="Verdana" w:hAnsi="Verdana" w:cs="Arial"/>
          <w:b/>
          <w:bCs/>
          <w:lang w:val="es-CO"/>
        </w:rPr>
        <w:t>PARTE 2</w:t>
      </w:r>
    </w:p>
    <w:p w14:paraId="3F7D3B1A" w14:textId="77777777" w:rsidR="000F5598" w:rsidRPr="0074653D" w:rsidRDefault="000F5598" w:rsidP="000F5598">
      <w:pPr>
        <w:widowControl w:val="0"/>
        <w:adjustRightInd w:val="0"/>
        <w:jc w:val="center"/>
        <w:outlineLvl w:val="0"/>
        <w:rPr>
          <w:rFonts w:ascii="Verdana" w:hAnsi="Verdana" w:cs="Arial"/>
          <w:b/>
          <w:bCs/>
          <w:lang w:val="es-CO"/>
        </w:rPr>
      </w:pPr>
      <w:r w:rsidRPr="0074653D">
        <w:rPr>
          <w:rFonts w:ascii="Verdana" w:hAnsi="Verdana" w:cs="Arial"/>
          <w:b/>
          <w:bCs/>
          <w:lang w:val="es-CO"/>
        </w:rPr>
        <w:t>CONTROLES DE LEY Y ASUNTOS PRUDENCIALES</w:t>
      </w:r>
    </w:p>
    <w:p w14:paraId="4251284A" w14:textId="77777777" w:rsidR="000F5598" w:rsidRPr="0074653D" w:rsidRDefault="000F5598" w:rsidP="000F5598">
      <w:pPr>
        <w:widowControl w:val="0"/>
        <w:adjustRightInd w:val="0"/>
        <w:jc w:val="center"/>
        <w:outlineLvl w:val="0"/>
        <w:rPr>
          <w:rFonts w:ascii="Verdana" w:hAnsi="Verdana" w:cs="Arial"/>
          <w:b/>
          <w:bCs/>
          <w:lang w:val="es-CO"/>
        </w:rPr>
      </w:pPr>
    </w:p>
    <w:p w14:paraId="3E83828A" w14:textId="77777777" w:rsidR="000F5598" w:rsidRPr="0074653D" w:rsidRDefault="000F5598" w:rsidP="000F5598">
      <w:pPr>
        <w:widowControl w:val="0"/>
        <w:adjustRightInd w:val="0"/>
        <w:jc w:val="center"/>
        <w:outlineLvl w:val="0"/>
        <w:rPr>
          <w:rFonts w:ascii="Verdana" w:hAnsi="Verdana" w:cs="Arial"/>
          <w:b/>
          <w:bCs/>
          <w:lang w:val="es-CO"/>
        </w:rPr>
      </w:pPr>
      <w:r w:rsidRPr="0074653D">
        <w:rPr>
          <w:rFonts w:ascii="Verdana" w:hAnsi="Verdana" w:cs="Arial"/>
          <w:b/>
          <w:bCs/>
          <w:lang w:val="es-CO"/>
        </w:rPr>
        <w:t>CAPÍTULO 1</w:t>
      </w:r>
    </w:p>
    <w:p w14:paraId="72F931FF" w14:textId="013EA837" w:rsidR="000F5598" w:rsidRPr="000F5598" w:rsidRDefault="000F5598" w:rsidP="000F5598">
      <w:pPr>
        <w:widowControl w:val="0"/>
        <w:adjustRightInd w:val="0"/>
        <w:jc w:val="center"/>
        <w:outlineLvl w:val="0"/>
        <w:rPr>
          <w:rFonts w:ascii="Verdana" w:hAnsi="Verdana" w:cs="Arial"/>
          <w:b/>
          <w:bCs/>
          <w:lang w:val="es-CO"/>
        </w:rPr>
      </w:pPr>
      <w:r w:rsidRPr="0074653D">
        <w:rPr>
          <w:rFonts w:ascii="Verdana" w:hAnsi="Verdana" w:cs="Arial"/>
          <w:b/>
          <w:bCs/>
          <w:lang w:val="es-CO"/>
        </w:rPr>
        <w:t>MARGEN DE SOLVENCIA Y OTROS REQUERIMIENTOS DE PATRIMONIO</w:t>
      </w:r>
    </w:p>
    <w:p w14:paraId="62DFB506" w14:textId="77777777" w:rsidR="000F5598" w:rsidRPr="000F5598" w:rsidRDefault="000F5598">
      <w:pPr>
        <w:rPr>
          <w:rFonts w:ascii="Verdana" w:hAnsi="Verdana" w:cs="Arial"/>
        </w:rPr>
      </w:pPr>
    </w:p>
    <w:p w14:paraId="78C297F5" w14:textId="4951CED0" w:rsidR="003C3D12" w:rsidRPr="000F5598" w:rsidRDefault="002E658A" w:rsidP="000F5598">
      <w:pPr>
        <w:pStyle w:val="Ttulo1"/>
        <w:rPr>
          <w:rFonts w:ascii="Verdana" w:hAnsi="Verdana" w:cs="Arial"/>
          <w:sz w:val="20"/>
          <w:szCs w:val="20"/>
        </w:rPr>
      </w:pPr>
      <w:r w:rsidRPr="000F5598">
        <w:rPr>
          <w:rFonts w:ascii="Verdana" w:hAnsi="Verdana" w:cs="Arial"/>
          <w:sz w:val="20"/>
          <w:szCs w:val="20"/>
        </w:rPr>
        <w:t xml:space="preserve">ANEXO </w:t>
      </w:r>
      <w:r w:rsidR="06A40E53" w:rsidRPr="32B4EDC0">
        <w:rPr>
          <w:rFonts w:ascii="Verdana" w:hAnsi="Verdana" w:cs="Arial"/>
          <w:sz w:val="20"/>
          <w:szCs w:val="20"/>
        </w:rPr>
        <w:t>2</w:t>
      </w:r>
    </w:p>
    <w:p w14:paraId="5C4C9820" w14:textId="77777777" w:rsidR="003C3D12" w:rsidRPr="000F5598" w:rsidRDefault="002E658A" w:rsidP="002E658A">
      <w:pPr>
        <w:jc w:val="center"/>
        <w:rPr>
          <w:rFonts w:ascii="Verdana" w:hAnsi="Verdana" w:cs="Arial"/>
          <w:b/>
          <w:lang w:val="es-CO"/>
        </w:rPr>
      </w:pPr>
      <w:r w:rsidRPr="000F5598">
        <w:rPr>
          <w:rFonts w:ascii="Verdana" w:hAnsi="Verdana" w:cs="Arial"/>
          <w:b/>
          <w:lang w:val="es-CO"/>
        </w:rPr>
        <w:t xml:space="preserve">METODOLOGÍA PARA LA IDENTIFICACIÓN DE LAS ENTIDADES </w:t>
      </w:r>
      <w:r w:rsidR="00D65644" w:rsidRPr="000F5598">
        <w:rPr>
          <w:rFonts w:ascii="Verdana" w:hAnsi="Verdana" w:cs="Arial"/>
          <w:b/>
          <w:lang w:val="es-CO"/>
        </w:rPr>
        <w:t>CON</w:t>
      </w:r>
      <w:r w:rsidRPr="000F5598">
        <w:rPr>
          <w:rFonts w:ascii="Verdana" w:hAnsi="Verdana" w:cs="Arial"/>
          <w:b/>
          <w:lang w:val="es-CO"/>
        </w:rPr>
        <w:t xml:space="preserve"> IMPORTANCIA SISTÉMICA (EIS)</w:t>
      </w:r>
    </w:p>
    <w:p w14:paraId="0174E2DD" w14:textId="77777777" w:rsidR="002E658A" w:rsidRPr="000F5598" w:rsidRDefault="002E658A" w:rsidP="002B36BE">
      <w:pPr>
        <w:jc w:val="both"/>
        <w:rPr>
          <w:rFonts w:ascii="Verdana" w:hAnsi="Verdana" w:cs="Arial"/>
          <w:lang w:val="es-CO"/>
        </w:rPr>
      </w:pPr>
    </w:p>
    <w:p w14:paraId="75DB3A63" w14:textId="77777777" w:rsidR="00C26590" w:rsidRDefault="00C26590" w:rsidP="17E892DA">
      <w:pPr>
        <w:jc w:val="both"/>
        <w:rPr>
          <w:rFonts w:ascii="Verdana" w:eastAsia="Verdana" w:hAnsi="Verdana" w:cs="Verdana"/>
          <w:b/>
          <w:bCs/>
          <w:color w:val="000000" w:themeColor="text1"/>
          <w:lang w:val="es-CO"/>
        </w:rPr>
      </w:pPr>
    </w:p>
    <w:p w14:paraId="108AE588" w14:textId="60429857" w:rsidR="05EA6B5B" w:rsidRDefault="1343A28F" w:rsidP="17E892DA">
      <w:pPr>
        <w:jc w:val="both"/>
        <w:rPr>
          <w:rFonts w:ascii="Verdana" w:eastAsia="Verdana" w:hAnsi="Verdana" w:cs="Verdana"/>
          <w:color w:val="000000" w:themeColor="text1"/>
          <w:lang w:val="es-CO"/>
        </w:rPr>
      </w:pPr>
      <w:r w:rsidRPr="17E892DA">
        <w:rPr>
          <w:rFonts w:ascii="Verdana" w:eastAsia="Verdana" w:hAnsi="Verdana" w:cs="Verdana"/>
          <w:b/>
          <w:bCs/>
          <w:color w:val="000000" w:themeColor="text1"/>
          <w:lang w:val="es-CO"/>
        </w:rPr>
        <w:t>CONSIDERACIONES GENERALES</w:t>
      </w:r>
    </w:p>
    <w:p w14:paraId="305094EC" w14:textId="36190907" w:rsidR="05EA6B5B" w:rsidRDefault="05EA6B5B" w:rsidP="2A97A0DC">
      <w:pPr>
        <w:pStyle w:val="Sinespaciado"/>
        <w:rPr>
          <w:rFonts w:ascii="Verdana" w:eastAsia="Verdana" w:hAnsi="Verdana" w:cs="Verdana"/>
          <w:color w:val="000000" w:themeColor="text1"/>
          <w:sz w:val="20"/>
          <w:szCs w:val="20"/>
          <w:lang w:val="es-ES"/>
        </w:rPr>
      </w:pPr>
    </w:p>
    <w:p w14:paraId="2CA06DE1" w14:textId="00462A98" w:rsidR="05EA6B5B" w:rsidRDefault="1343A28F" w:rsidP="17E892DA">
      <w:pPr>
        <w:pStyle w:val="Sinespaciado"/>
        <w:rPr>
          <w:rFonts w:ascii="Verdana" w:eastAsia="Verdana" w:hAnsi="Verdana" w:cs="Verdana"/>
          <w:color w:val="000000" w:themeColor="text1"/>
          <w:sz w:val="20"/>
          <w:szCs w:val="20"/>
        </w:rPr>
      </w:pPr>
      <w:r w:rsidRPr="4DC00DF9">
        <w:rPr>
          <w:rFonts w:ascii="Verdana" w:eastAsia="Verdana" w:hAnsi="Verdana" w:cs="Verdana"/>
          <w:color w:val="000000" w:themeColor="text1"/>
          <w:sz w:val="20"/>
          <w:szCs w:val="20"/>
          <w:lang w:val="es-ES"/>
        </w:rPr>
        <w:t>2</w:t>
      </w:r>
      <w:r w:rsidRPr="41BC853D">
        <w:rPr>
          <w:rFonts w:ascii="Verdana" w:eastAsia="Verdana" w:hAnsi="Verdana" w:cs="Verdana"/>
          <w:color w:val="000000" w:themeColor="text1"/>
          <w:sz w:val="20"/>
          <w:szCs w:val="20"/>
          <w:lang w:val="es-ES"/>
        </w:rPr>
        <w:t>.</w:t>
      </w:r>
      <w:r w:rsidRPr="17E892DA">
        <w:rPr>
          <w:rFonts w:ascii="Verdana" w:eastAsia="Verdana" w:hAnsi="Verdana" w:cs="Verdana"/>
          <w:color w:val="000000" w:themeColor="text1"/>
          <w:sz w:val="20"/>
          <w:szCs w:val="20"/>
          <w:lang w:val="es-ES"/>
        </w:rPr>
        <w:t>1.A2.1.</w:t>
      </w:r>
    </w:p>
    <w:p w14:paraId="7C2FE696" w14:textId="5EDE172B" w:rsidR="00C62AA0" w:rsidRPr="000F5598" w:rsidRDefault="002E658A" w:rsidP="002E658A">
      <w:pPr>
        <w:pStyle w:val="Textoindependiente"/>
        <w:rPr>
          <w:rFonts w:ascii="Verdana" w:hAnsi="Verdana" w:cs="Arial"/>
          <w:sz w:val="20"/>
        </w:rPr>
      </w:pPr>
      <w:r w:rsidRPr="000F5598">
        <w:rPr>
          <w:rFonts w:ascii="Verdana" w:hAnsi="Verdana" w:cs="Arial"/>
          <w:sz w:val="20"/>
        </w:rPr>
        <w:t>De acuerdo con las disposiciones establecidas por el artículo 2.1.1.4.3 del Decreto 2555 de 2010</w:t>
      </w:r>
      <w:r w:rsidR="00C62AA0" w:rsidRPr="000F5598">
        <w:rPr>
          <w:rFonts w:ascii="Verdana" w:hAnsi="Verdana" w:cs="Arial"/>
          <w:sz w:val="20"/>
        </w:rPr>
        <w:t xml:space="preserve"> los</w:t>
      </w:r>
      <w:r w:rsidRPr="000F5598">
        <w:rPr>
          <w:rFonts w:ascii="Verdana" w:hAnsi="Verdana" w:cs="Arial"/>
          <w:sz w:val="20"/>
        </w:rPr>
        <w:t xml:space="preserve"> establecimientos de crédito </w:t>
      </w:r>
      <w:r w:rsidR="00D65644" w:rsidRPr="000F5598">
        <w:rPr>
          <w:rFonts w:ascii="Verdana" w:hAnsi="Verdana" w:cs="Arial"/>
          <w:sz w:val="20"/>
        </w:rPr>
        <w:t>con</w:t>
      </w:r>
      <w:r w:rsidRPr="000F5598">
        <w:rPr>
          <w:rFonts w:ascii="Verdana" w:hAnsi="Verdana" w:cs="Arial"/>
          <w:sz w:val="20"/>
        </w:rPr>
        <w:t xml:space="preserve"> importancia sistémica están obligados a constituir el colchón de capital que corresponde al 1% del valor de los activos ponderados por nivel de riesgo de crédito, mercado y </w:t>
      </w:r>
      <w:r w:rsidR="00E22ACC" w:rsidRPr="000F5598">
        <w:rPr>
          <w:rFonts w:ascii="Verdana" w:hAnsi="Verdana" w:cs="Arial"/>
          <w:sz w:val="20"/>
        </w:rPr>
        <w:t>operacional</w:t>
      </w:r>
      <w:r w:rsidRPr="000F5598">
        <w:rPr>
          <w:rFonts w:ascii="Verdana" w:hAnsi="Verdana" w:cs="Arial"/>
          <w:sz w:val="20"/>
        </w:rPr>
        <w:t xml:space="preserve"> que deberá mantenerse en el Patrimonio Básico Ordinario neto de deducciones (PBO)</w:t>
      </w:r>
      <w:r w:rsidR="005D3538">
        <w:rPr>
          <w:rFonts w:ascii="Verdana" w:hAnsi="Verdana" w:cs="Arial"/>
          <w:sz w:val="20"/>
        </w:rPr>
        <w:t>,</w:t>
      </w:r>
      <w:r w:rsidR="00C62AA0" w:rsidRPr="000F5598">
        <w:rPr>
          <w:rFonts w:ascii="Verdana" w:hAnsi="Verdana" w:cs="Arial"/>
          <w:sz w:val="20"/>
        </w:rPr>
        <w:t xml:space="preserve"> de conformidad con la metodología </w:t>
      </w:r>
      <w:r w:rsidR="00E22ACC" w:rsidRPr="000F5598">
        <w:rPr>
          <w:rFonts w:ascii="Verdana" w:hAnsi="Verdana" w:cs="Arial"/>
          <w:sz w:val="20"/>
        </w:rPr>
        <w:t>defin</w:t>
      </w:r>
      <w:r w:rsidR="00B73F3A">
        <w:rPr>
          <w:rFonts w:ascii="Verdana" w:hAnsi="Verdana" w:cs="Arial"/>
          <w:sz w:val="20"/>
        </w:rPr>
        <w:t>id</w:t>
      </w:r>
      <w:r w:rsidR="00E22ACC" w:rsidRPr="000F5598">
        <w:rPr>
          <w:rFonts w:ascii="Verdana" w:hAnsi="Verdana" w:cs="Arial"/>
          <w:sz w:val="20"/>
        </w:rPr>
        <w:t xml:space="preserve">a </w:t>
      </w:r>
      <w:r w:rsidR="00B73F3A">
        <w:rPr>
          <w:rFonts w:ascii="Verdana" w:hAnsi="Verdana" w:cs="Arial"/>
          <w:sz w:val="20"/>
        </w:rPr>
        <w:t xml:space="preserve">por la </w:t>
      </w:r>
      <w:r w:rsidR="00E22ACC" w:rsidRPr="000F5598">
        <w:rPr>
          <w:rFonts w:ascii="Verdana" w:hAnsi="Verdana" w:cs="Arial"/>
          <w:sz w:val="20"/>
        </w:rPr>
        <w:t>Superintendencia</w:t>
      </w:r>
      <w:r w:rsidR="00B73F3A">
        <w:rPr>
          <w:rFonts w:ascii="Verdana" w:hAnsi="Verdana" w:cs="Arial"/>
          <w:sz w:val="20"/>
        </w:rPr>
        <w:t xml:space="preserve"> Financiera de Colombia (SFC)</w:t>
      </w:r>
      <w:r w:rsidR="00E22ACC" w:rsidRPr="000F5598">
        <w:rPr>
          <w:rFonts w:ascii="Verdana" w:hAnsi="Verdana" w:cs="Arial"/>
          <w:sz w:val="20"/>
        </w:rPr>
        <w:t>.</w:t>
      </w:r>
    </w:p>
    <w:p w14:paraId="54AE126F" w14:textId="77777777" w:rsidR="00C62AA0" w:rsidRPr="000F5598" w:rsidRDefault="00C62AA0" w:rsidP="002E658A">
      <w:pPr>
        <w:pStyle w:val="Textoindependiente"/>
        <w:rPr>
          <w:rFonts w:ascii="Verdana" w:hAnsi="Verdana" w:cs="Arial"/>
          <w:sz w:val="20"/>
        </w:rPr>
      </w:pPr>
    </w:p>
    <w:p w14:paraId="010B7BF6" w14:textId="0B800BAB" w:rsidR="6194BD5B" w:rsidRDefault="00093897" w:rsidP="0450AC79">
      <w:pPr>
        <w:pStyle w:val="Textoindependiente"/>
        <w:rPr>
          <w:rFonts w:ascii="Verdana" w:eastAsia="Verdana" w:hAnsi="Verdana" w:cs="Verdana"/>
          <w:b/>
          <w:color w:val="000000" w:themeColor="text1"/>
          <w:sz w:val="20"/>
        </w:rPr>
      </w:pPr>
      <w:r>
        <w:rPr>
          <w:rFonts w:ascii="Verdana" w:eastAsia="Verdana" w:hAnsi="Verdana" w:cs="Verdana"/>
          <w:b/>
          <w:color w:val="000000" w:themeColor="text1"/>
          <w:sz w:val="20"/>
        </w:rPr>
        <w:t xml:space="preserve">METODOLOGÍA </w:t>
      </w:r>
      <w:r w:rsidR="00315B20">
        <w:rPr>
          <w:rFonts w:ascii="Verdana" w:eastAsia="Verdana" w:hAnsi="Verdana" w:cs="Verdana"/>
          <w:b/>
          <w:color w:val="000000" w:themeColor="text1"/>
          <w:sz w:val="20"/>
        </w:rPr>
        <w:t xml:space="preserve">PARA LA DEFINICIÓN DE </w:t>
      </w:r>
      <w:r w:rsidR="00C30261">
        <w:rPr>
          <w:rFonts w:ascii="Verdana" w:eastAsia="Verdana" w:hAnsi="Verdana" w:cs="Verdana"/>
          <w:b/>
          <w:color w:val="000000" w:themeColor="text1"/>
          <w:sz w:val="20"/>
        </w:rPr>
        <w:t>ENTIDADE</w:t>
      </w:r>
      <w:r w:rsidR="00E40607">
        <w:rPr>
          <w:rFonts w:ascii="Verdana" w:eastAsia="Verdana" w:hAnsi="Verdana" w:cs="Verdana"/>
          <w:b/>
          <w:color w:val="000000" w:themeColor="text1"/>
          <w:sz w:val="20"/>
        </w:rPr>
        <w:t>S</w:t>
      </w:r>
      <w:r w:rsidR="00C30261">
        <w:rPr>
          <w:rFonts w:ascii="Verdana" w:eastAsia="Verdana" w:hAnsi="Verdana" w:cs="Verdana"/>
          <w:b/>
          <w:color w:val="000000" w:themeColor="text1"/>
          <w:sz w:val="20"/>
        </w:rPr>
        <w:t xml:space="preserve"> </w:t>
      </w:r>
      <w:r w:rsidR="00003CDB">
        <w:rPr>
          <w:rFonts w:ascii="Verdana" w:eastAsia="Verdana" w:hAnsi="Verdana" w:cs="Verdana"/>
          <w:b/>
          <w:color w:val="000000" w:themeColor="text1"/>
          <w:sz w:val="20"/>
        </w:rPr>
        <w:t>DE</w:t>
      </w:r>
      <w:r w:rsidR="009D388A">
        <w:rPr>
          <w:rFonts w:ascii="Verdana" w:eastAsia="Verdana" w:hAnsi="Verdana" w:cs="Verdana"/>
          <w:b/>
          <w:color w:val="000000" w:themeColor="text1"/>
          <w:sz w:val="20"/>
        </w:rPr>
        <w:t xml:space="preserve"> IMPORTANCIA SISTÉMICA</w:t>
      </w:r>
    </w:p>
    <w:p w14:paraId="5A13527D" w14:textId="77777777" w:rsidR="00093897" w:rsidRDefault="00093897" w:rsidP="0450AC79">
      <w:pPr>
        <w:pStyle w:val="Textoindependiente"/>
        <w:rPr>
          <w:rFonts w:ascii="Verdana" w:eastAsia="Verdana" w:hAnsi="Verdana" w:cs="Verdana"/>
          <w:b/>
          <w:color w:val="000000" w:themeColor="text1"/>
          <w:sz w:val="20"/>
        </w:rPr>
      </w:pPr>
    </w:p>
    <w:p w14:paraId="29D1FBA7" w14:textId="000EFCE5" w:rsidR="144A617A" w:rsidRDefault="7E41B479" w:rsidP="144A617A">
      <w:pPr>
        <w:pStyle w:val="Textoindependiente"/>
        <w:rPr>
          <w:rFonts w:ascii="Verdana" w:hAnsi="Verdana" w:cs="Arial"/>
          <w:sz w:val="20"/>
        </w:rPr>
      </w:pPr>
      <w:r w:rsidRPr="7F7A6E03">
        <w:rPr>
          <w:rFonts w:ascii="Verdana" w:hAnsi="Verdana" w:cs="Arial"/>
          <w:sz w:val="20"/>
        </w:rPr>
        <w:t>2.1.A2</w:t>
      </w:r>
      <w:r w:rsidRPr="3AB71F49">
        <w:rPr>
          <w:rFonts w:ascii="Verdana" w:hAnsi="Verdana" w:cs="Arial"/>
          <w:sz w:val="20"/>
        </w:rPr>
        <w:t>.</w:t>
      </w:r>
      <w:r w:rsidRPr="0687C659">
        <w:rPr>
          <w:rFonts w:ascii="Verdana" w:hAnsi="Verdana" w:cs="Arial"/>
          <w:sz w:val="20"/>
        </w:rPr>
        <w:t>2.</w:t>
      </w:r>
    </w:p>
    <w:p w14:paraId="35062123" w14:textId="0E7EED71" w:rsidR="00E22ACC" w:rsidRPr="000F5598" w:rsidRDefault="00E22ACC" w:rsidP="00E22ACC">
      <w:pPr>
        <w:jc w:val="both"/>
        <w:rPr>
          <w:rFonts w:ascii="Verdana" w:hAnsi="Verdana" w:cs="Arial"/>
          <w:lang w:val="es-CO"/>
        </w:rPr>
      </w:pPr>
      <w:r w:rsidRPr="540D5149">
        <w:rPr>
          <w:rFonts w:ascii="Verdana" w:hAnsi="Verdana" w:cs="Arial"/>
          <w:lang w:val="es-CO"/>
        </w:rPr>
        <w:t>El</w:t>
      </w:r>
      <w:r w:rsidRPr="000F5598">
        <w:rPr>
          <w:rFonts w:ascii="Verdana" w:hAnsi="Verdana" w:cs="Arial"/>
          <w:lang w:val="es-CO"/>
        </w:rPr>
        <w:t xml:space="preserve"> presente anexo describe </w:t>
      </w:r>
      <w:r w:rsidR="008744BF" w:rsidRPr="000F5598">
        <w:rPr>
          <w:rFonts w:ascii="Verdana" w:hAnsi="Verdana" w:cs="Arial"/>
          <w:lang w:val="es-CO"/>
        </w:rPr>
        <w:t xml:space="preserve">la metodología </w:t>
      </w:r>
      <w:r w:rsidRPr="000F5598">
        <w:rPr>
          <w:rFonts w:ascii="Verdana" w:hAnsi="Verdana" w:cs="Arial"/>
          <w:lang w:val="es-CO"/>
        </w:rPr>
        <w:t xml:space="preserve">que </w:t>
      </w:r>
      <w:r w:rsidR="6B0B401D" w:rsidRPr="1ED8ACC3">
        <w:rPr>
          <w:rFonts w:ascii="Verdana" w:hAnsi="Verdana" w:cs="Arial"/>
          <w:lang w:val="es-CO"/>
        </w:rPr>
        <w:t>u</w:t>
      </w:r>
      <w:r w:rsidRPr="1ED8ACC3">
        <w:rPr>
          <w:rFonts w:ascii="Verdana" w:hAnsi="Verdana" w:cs="Arial"/>
          <w:lang w:val="es-CO"/>
        </w:rPr>
        <w:t>tiliza</w:t>
      </w:r>
      <w:r w:rsidRPr="000F5598">
        <w:rPr>
          <w:rFonts w:ascii="Verdana" w:hAnsi="Verdana" w:cs="Arial"/>
          <w:lang w:val="es-CO"/>
        </w:rPr>
        <w:t xml:space="preserve"> la SFC para la definición de los establecimientos de crédito </w:t>
      </w:r>
      <w:r w:rsidR="00D65644" w:rsidRPr="000F5598">
        <w:rPr>
          <w:rFonts w:ascii="Verdana" w:hAnsi="Verdana" w:cs="Arial"/>
          <w:lang w:val="es-CO"/>
        </w:rPr>
        <w:t>con</w:t>
      </w:r>
      <w:r w:rsidRPr="000F5598">
        <w:rPr>
          <w:rFonts w:ascii="Verdana" w:hAnsi="Verdana" w:cs="Arial"/>
          <w:lang w:val="es-CO"/>
        </w:rPr>
        <w:t xml:space="preserve"> importancia sistémica</w:t>
      </w:r>
      <w:r w:rsidR="005226DC" w:rsidRPr="000F5598">
        <w:rPr>
          <w:rFonts w:ascii="Verdana" w:hAnsi="Verdana" w:cs="Arial"/>
          <w:lang w:val="es-CO"/>
        </w:rPr>
        <w:t xml:space="preserve">, la cual está </w:t>
      </w:r>
      <w:r w:rsidRPr="000F5598">
        <w:rPr>
          <w:rFonts w:ascii="Verdana" w:hAnsi="Verdana" w:cs="Arial"/>
          <w:lang w:val="es-CO"/>
        </w:rPr>
        <w:t xml:space="preserve">alineada </w:t>
      </w:r>
      <w:r w:rsidR="7A2882A4" w:rsidRPr="55DE6AED">
        <w:rPr>
          <w:rFonts w:ascii="Verdana" w:hAnsi="Verdana" w:cs="Arial"/>
          <w:lang w:val="es-CO"/>
        </w:rPr>
        <w:t xml:space="preserve">con </w:t>
      </w:r>
      <w:r w:rsidRPr="000F5598">
        <w:rPr>
          <w:rFonts w:ascii="Verdana" w:hAnsi="Verdana" w:cs="Arial"/>
          <w:lang w:val="es-CO"/>
        </w:rPr>
        <w:t>la propuesta del Comité de Basilea (BIS, 2018)</w:t>
      </w:r>
      <w:r w:rsidR="00A77637" w:rsidRPr="000F5598">
        <w:rPr>
          <w:rFonts w:ascii="Verdana" w:hAnsi="Verdana" w:cs="Arial"/>
          <w:lang w:val="es-CO"/>
        </w:rPr>
        <w:t xml:space="preserve"> y</w:t>
      </w:r>
      <w:r w:rsidR="005226DC" w:rsidRPr="000F5598">
        <w:rPr>
          <w:rFonts w:ascii="Verdana" w:hAnsi="Verdana" w:cs="Arial"/>
          <w:lang w:val="es-CO"/>
        </w:rPr>
        <w:t xml:space="preserve"> evalúa </w:t>
      </w:r>
      <w:r w:rsidRPr="000F5598">
        <w:rPr>
          <w:rFonts w:ascii="Verdana" w:hAnsi="Verdana" w:cs="Arial"/>
          <w:lang w:val="es-CO"/>
        </w:rPr>
        <w:t xml:space="preserve">cuatro criterios: tamaño, interconexión, sustituibilidad y complejidad, de acuerdo con lo establecido en el parágrafo del artículo 2.1.1.4.3 del Decreto 2555 de 2010. Las entidades que se definan como </w:t>
      </w:r>
      <w:r w:rsidR="005D3538">
        <w:rPr>
          <w:rFonts w:ascii="Verdana" w:hAnsi="Verdana" w:cs="Arial"/>
          <w:lang w:val="es-CO"/>
        </w:rPr>
        <w:t xml:space="preserve">con importancia </w:t>
      </w:r>
      <w:r w:rsidRPr="000F5598">
        <w:rPr>
          <w:rFonts w:ascii="Verdana" w:hAnsi="Verdana" w:cs="Arial"/>
          <w:lang w:val="es-CO"/>
        </w:rPr>
        <w:t>sistémica bajo la metodología aquí señalada, se entenderán como sistémicas tanto a nivel individual como consolidado.</w:t>
      </w:r>
    </w:p>
    <w:p w14:paraId="47321C5F" w14:textId="6D3CEFEC" w:rsidR="005861F6" w:rsidRPr="000F5598" w:rsidRDefault="005861F6" w:rsidP="00D65644">
      <w:pPr>
        <w:pStyle w:val="Textonotapie"/>
        <w:tabs>
          <w:tab w:val="left" w:pos="7431"/>
        </w:tabs>
        <w:jc w:val="both"/>
        <w:rPr>
          <w:rFonts w:ascii="Verdana" w:eastAsia="Times New Roman" w:hAnsi="Verdana" w:cs="Arial"/>
          <w:lang w:val="es-CO" w:eastAsia="es-CO"/>
        </w:rPr>
      </w:pPr>
    </w:p>
    <w:p w14:paraId="440AF36B" w14:textId="77777777" w:rsidR="002E658A" w:rsidRPr="000F5598" w:rsidRDefault="002E658A" w:rsidP="31353EB0">
      <w:pPr>
        <w:spacing w:after="160" w:line="259" w:lineRule="auto"/>
        <w:jc w:val="both"/>
        <w:rPr>
          <w:rFonts w:ascii="Verdana" w:hAnsi="Verdana" w:cs="Arial"/>
          <w:b/>
        </w:rPr>
      </w:pPr>
      <w:r w:rsidRPr="31353EB0">
        <w:rPr>
          <w:rFonts w:ascii="Verdana" w:hAnsi="Verdana" w:cs="Arial"/>
          <w:b/>
        </w:rPr>
        <w:t>Cálculo del nivel de sistemicidad</w:t>
      </w:r>
    </w:p>
    <w:p w14:paraId="31A113C2" w14:textId="1332F055" w:rsidR="31353EB0" w:rsidRDefault="12F066BB" w:rsidP="31353EB0">
      <w:pPr>
        <w:jc w:val="both"/>
        <w:rPr>
          <w:rFonts w:ascii="Verdana" w:hAnsi="Verdana" w:cs="Arial"/>
          <w:lang w:val="es-CO"/>
        </w:rPr>
      </w:pPr>
      <w:r w:rsidRPr="132708DB">
        <w:rPr>
          <w:rFonts w:ascii="Verdana" w:hAnsi="Verdana" w:cs="Arial"/>
          <w:lang w:val="es-CO"/>
        </w:rPr>
        <w:t>2.1.</w:t>
      </w:r>
      <w:r w:rsidRPr="15757824">
        <w:rPr>
          <w:rFonts w:ascii="Verdana" w:hAnsi="Verdana" w:cs="Arial"/>
          <w:lang w:val="es-CO"/>
        </w:rPr>
        <w:t>A2</w:t>
      </w:r>
      <w:r w:rsidRPr="5FF1C292">
        <w:rPr>
          <w:rFonts w:ascii="Verdana" w:hAnsi="Verdana" w:cs="Arial"/>
          <w:lang w:val="es-CO"/>
        </w:rPr>
        <w:t>.3</w:t>
      </w:r>
      <w:r w:rsidRPr="0B846177">
        <w:rPr>
          <w:rFonts w:ascii="Verdana" w:hAnsi="Verdana" w:cs="Arial"/>
          <w:lang w:val="es-CO"/>
        </w:rPr>
        <w:t>.</w:t>
      </w:r>
    </w:p>
    <w:p w14:paraId="732919D3" w14:textId="444E6674" w:rsidR="0082709E" w:rsidRPr="000F5598" w:rsidRDefault="12F066BB" w:rsidP="002E658A">
      <w:pPr>
        <w:jc w:val="both"/>
        <w:rPr>
          <w:rFonts w:ascii="Verdana" w:hAnsi="Verdana" w:cs="Arial"/>
          <w:lang w:val="es-CO"/>
        </w:rPr>
      </w:pPr>
      <w:r w:rsidRPr="5F52FEAB">
        <w:rPr>
          <w:rFonts w:ascii="Verdana" w:hAnsi="Verdana" w:cs="Arial"/>
          <w:lang w:val="es-CO"/>
        </w:rPr>
        <w:t xml:space="preserve">Para evaluar este </w:t>
      </w:r>
      <w:r w:rsidRPr="2C7E1298">
        <w:rPr>
          <w:rFonts w:ascii="Verdana" w:hAnsi="Verdana" w:cs="Arial"/>
          <w:lang w:val="es-CO"/>
        </w:rPr>
        <w:t xml:space="preserve">criterio </w:t>
      </w:r>
      <w:r w:rsidRPr="36B6F1BA">
        <w:rPr>
          <w:rFonts w:ascii="Verdana" w:hAnsi="Verdana" w:cs="Arial"/>
          <w:lang w:val="es-CO"/>
        </w:rPr>
        <w:t>l</w:t>
      </w:r>
      <w:r w:rsidR="002E658A" w:rsidRPr="36B6F1BA">
        <w:rPr>
          <w:rFonts w:ascii="Verdana" w:hAnsi="Verdana" w:cs="Arial"/>
          <w:lang w:val="es-CO"/>
        </w:rPr>
        <w:t>a</w:t>
      </w:r>
      <w:r w:rsidR="002E658A" w:rsidRPr="000F5598">
        <w:rPr>
          <w:rFonts w:ascii="Verdana" w:hAnsi="Verdana" w:cs="Arial"/>
          <w:lang w:val="es-CO"/>
        </w:rPr>
        <w:t xml:space="preserve"> SFC evalúa cuatro c</w:t>
      </w:r>
      <w:r w:rsidR="005861F6" w:rsidRPr="000F5598">
        <w:rPr>
          <w:rFonts w:ascii="Verdana" w:hAnsi="Verdana" w:cs="Arial"/>
          <w:lang w:val="es-CO"/>
        </w:rPr>
        <w:t>ategorías</w:t>
      </w:r>
      <w:r w:rsidR="002E658A" w:rsidRPr="000F5598">
        <w:rPr>
          <w:rFonts w:ascii="Verdana" w:hAnsi="Verdana" w:cs="Arial"/>
          <w:lang w:val="es-CO"/>
        </w:rPr>
        <w:t xml:space="preserve">: el tamaño de la entidad, su interconexión, la ausencia de sustitutos o de infraestructura financiera fácilmente disponible para los servicios que prestan y su complejidad. La combinación de </w:t>
      </w:r>
      <w:r w:rsidR="00A77637" w:rsidRPr="000F5598">
        <w:rPr>
          <w:rFonts w:ascii="Verdana" w:hAnsi="Verdana" w:cs="Arial"/>
          <w:lang w:val="es-CO"/>
        </w:rPr>
        <w:t>é</w:t>
      </w:r>
      <w:r w:rsidR="00E22ACC" w:rsidRPr="000F5598">
        <w:rPr>
          <w:rFonts w:ascii="Verdana" w:hAnsi="Verdana" w:cs="Arial"/>
          <w:lang w:val="es-CO"/>
        </w:rPr>
        <w:t>stas permite</w:t>
      </w:r>
      <w:r w:rsidR="002E658A" w:rsidRPr="000F5598">
        <w:rPr>
          <w:rFonts w:ascii="Verdana" w:hAnsi="Verdana" w:cs="Arial"/>
          <w:lang w:val="es-CO"/>
        </w:rPr>
        <w:t xml:space="preserve"> dimensionar las externalidades negativas, derivadas de eventuales complicaciones en </w:t>
      </w:r>
      <w:r w:rsidR="005861F6" w:rsidRPr="000F5598">
        <w:rPr>
          <w:rFonts w:ascii="Verdana" w:hAnsi="Verdana" w:cs="Arial"/>
          <w:lang w:val="es-CO"/>
        </w:rPr>
        <w:t>la</w:t>
      </w:r>
      <w:r w:rsidR="002E658A" w:rsidRPr="000F5598">
        <w:rPr>
          <w:rFonts w:ascii="Verdana" w:hAnsi="Verdana" w:cs="Arial"/>
          <w:lang w:val="es-CO"/>
        </w:rPr>
        <w:t xml:space="preserve"> entidad</w:t>
      </w:r>
      <w:r w:rsidR="005861F6" w:rsidRPr="000F5598">
        <w:rPr>
          <w:rFonts w:ascii="Verdana" w:hAnsi="Verdana" w:cs="Arial"/>
          <w:lang w:val="es-CO"/>
        </w:rPr>
        <w:t>, respecto de la estabilidad financiera.</w:t>
      </w:r>
    </w:p>
    <w:p w14:paraId="0AD09836" w14:textId="77777777" w:rsidR="0082709E" w:rsidRPr="000F5598" w:rsidRDefault="0082709E" w:rsidP="002E658A">
      <w:pPr>
        <w:jc w:val="both"/>
        <w:rPr>
          <w:rFonts w:ascii="Verdana" w:hAnsi="Verdana" w:cs="Arial"/>
          <w:lang w:val="es-CO"/>
        </w:rPr>
      </w:pPr>
    </w:p>
    <w:p w14:paraId="4A8BA423" w14:textId="59943199" w:rsidR="6CDBBB4D" w:rsidRDefault="6CDBBB4D" w:rsidP="1F13E087">
      <w:pPr>
        <w:jc w:val="both"/>
        <w:rPr>
          <w:rFonts w:ascii="Verdana" w:hAnsi="Verdana" w:cs="Arial"/>
          <w:lang w:val="es-CO"/>
        </w:rPr>
      </w:pPr>
      <w:r w:rsidRPr="1F13E087">
        <w:rPr>
          <w:rFonts w:ascii="Verdana" w:hAnsi="Verdana" w:cs="Arial"/>
          <w:lang w:val="es-CO"/>
        </w:rPr>
        <w:t>2.1.</w:t>
      </w:r>
      <w:r w:rsidR="6EA7B464" w:rsidRPr="1AA0C45F">
        <w:rPr>
          <w:rFonts w:ascii="Verdana" w:hAnsi="Verdana" w:cs="Arial"/>
          <w:lang w:val="es-CO"/>
        </w:rPr>
        <w:t>A</w:t>
      </w:r>
      <w:r w:rsidRPr="1AA0C45F">
        <w:rPr>
          <w:rFonts w:ascii="Verdana" w:hAnsi="Verdana" w:cs="Arial"/>
          <w:lang w:val="es-CO"/>
        </w:rPr>
        <w:t>2</w:t>
      </w:r>
      <w:r w:rsidRPr="69E1FA41">
        <w:rPr>
          <w:rFonts w:ascii="Verdana" w:hAnsi="Verdana" w:cs="Arial"/>
          <w:lang w:val="es-CO"/>
        </w:rPr>
        <w:t>.4.</w:t>
      </w:r>
    </w:p>
    <w:p w14:paraId="7F6BFA19" w14:textId="10C0FE80" w:rsidR="002E658A" w:rsidRPr="000F5598" w:rsidRDefault="002E658A" w:rsidP="003C2271">
      <w:pPr>
        <w:tabs>
          <w:tab w:val="left" w:pos="5670"/>
        </w:tabs>
        <w:jc w:val="both"/>
        <w:rPr>
          <w:rFonts w:ascii="Verdana" w:hAnsi="Verdana" w:cs="Arial"/>
          <w:lang w:val="es-CO"/>
        </w:rPr>
      </w:pPr>
      <w:r w:rsidRPr="000F5598">
        <w:rPr>
          <w:rFonts w:ascii="Verdana" w:hAnsi="Verdana" w:cs="Arial"/>
          <w:lang w:val="es-CO"/>
        </w:rPr>
        <w:t xml:space="preserve">Cada una de </w:t>
      </w:r>
      <w:r w:rsidR="00E22ACC" w:rsidRPr="000F5598">
        <w:rPr>
          <w:rFonts w:ascii="Verdana" w:hAnsi="Verdana" w:cs="Arial"/>
          <w:lang w:val="es-CO"/>
        </w:rPr>
        <w:t>estas categorías</w:t>
      </w:r>
      <w:r w:rsidRPr="000F5598">
        <w:rPr>
          <w:rFonts w:ascii="Verdana" w:hAnsi="Verdana" w:cs="Arial"/>
          <w:lang w:val="es-CO"/>
        </w:rPr>
        <w:t xml:space="preserve"> pondera al 25% y al interior de </w:t>
      </w:r>
      <w:proofErr w:type="gramStart"/>
      <w:r w:rsidR="003C2271">
        <w:rPr>
          <w:rFonts w:ascii="Verdana" w:hAnsi="Verdana" w:cs="Arial"/>
          <w:lang w:val="es-CO"/>
        </w:rPr>
        <w:t>las mismas</w:t>
      </w:r>
      <w:proofErr w:type="gramEnd"/>
      <w:r w:rsidRPr="000F5598">
        <w:rPr>
          <w:rFonts w:ascii="Verdana" w:hAnsi="Verdana" w:cs="Arial"/>
          <w:lang w:val="es-CO"/>
        </w:rPr>
        <w:t xml:space="preserve"> los pesos de cada indicador se </w:t>
      </w:r>
      <w:r w:rsidR="00E22ACC" w:rsidRPr="000F5598">
        <w:rPr>
          <w:rFonts w:ascii="Verdana" w:hAnsi="Verdana" w:cs="Arial"/>
          <w:lang w:val="es-CO"/>
        </w:rPr>
        <w:t>distribuyen conforme</w:t>
      </w:r>
      <w:r w:rsidRPr="000F5598">
        <w:rPr>
          <w:rFonts w:ascii="Verdana" w:hAnsi="Verdana" w:cs="Arial"/>
          <w:lang w:val="es-CO"/>
        </w:rPr>
        <w:t xml:space="preserve"> se reporta en el cuadro 1. </w:t>
      </w:r>
    </w:p>
    <w:p w14:paraId="6C6690E8" w14:textId="77777777" w:rsidR="0082709E" w:rsidRPr="000F5598" w:rsidRDefault="0082709E" w:rsidP="002E658A">
      <w:pPr>
        <w:jc w:val="both"/>
        <w:rPr>
          <w:rFonts w:ascii="Verdana" w:hAnsi="Verdana" w:cs="Arial"/>
          <w:lang w:val="es-CO"/>
        </w:rPr>
      </w:pPr>
    </w:p>
    <w:p w14:paraId="35D20FFD" w14:textId="77777777" w:rsidR="0082709E" w:rsidRPr="000F5598" w:rsidRDefault="0082709E" w:rsidP="002E658A">
      <w:pPr>
        <w:jc w:val="center"/>
        <w:rPr>
          <w:rFonts w:ascii="Verdana" w:hAnsi="Verdana" w:cs="Arial"/>
          <w:b/>
        </w:rPr>
      </w:pPr>
    </w:p>
    <w:p w14:paraId="56BC328D" w14:textId="77777777" w:rsidR="002E658A" w:rsidRPr="000F5598" w:rsidRDefault="002E658A" w:rsidP="002E658A">
      <w:pPr>
        <w:jc w:val="center"/>
        <w:rPr>
          <w:rFonts w:ascii="Verdana" w:hAnsi="Verdana" w:cs="Arial"/>
          <w:b/>
        </w:rPr>
      </w:pPr>
      <w:r w:rsidRPr="000F5598">
        <w:rPr>
          <w:rFonts w:ascii="Verdana" w:hAnsi="Verdana" w:cs="Arial"/>
          <w:b/>
        </w:rPr>
        <w:t>Cuadro 1: Método de medición basado en indicadores</w:t>
      </w:r>
    </w:p>
    <w:p w14:paraId="0CEC3CAB" w14:textId="77777777" w:rsidR="00DF15DA" w:rsidRPr="000F5598" w:rsidRDefault="00DF15DA" w:rsidP="002E658A">
      <w:pPr>
        <w:jc w:val="center"/>
        <w:rPr>
          <w:rFonts w:ascii="Verdana" w:hAnsi="Verdana"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943"/>
        <w:gridCol w:w="2943"/>
      </w:tblGrid>
      <w:tr w:rsidR="002E658A" w:rsidRPr="000F5598" w14:paraId="01F10213" w14:textId="77777777" w:rsidTr="00BB018A">
        <w:trPr>
          <w:tblHeader/>
          <w:jc w:val="center"/>
        </w:trPr>
        <w:tc>
          <w:tcPr>
            <w:tcW w:w="2942" w:type="dxa"/>
            <w:shd w:val="clear" w:color="auto" w:fill="0D0D0D"/>
          </w:tcPr>
          <w:p w14:paraId="5DE01FBF" w14:textId="77777777" w:rsidR="002E658A" w:rsidRPr="000F5598" w:rsidRDefault="002E658A" w:rsidP="00D82A6D">
            <w:pPr>
              <w:jc w:val="center"/>
              <w:rPr>
                <w:rFonts w:ascii="Verdana" w:eastAsia="Calibri" w:hAnsi="Verdana" w:cs="Arial"/>
                <w:b/>
                <w:color w:val="FFFFFF"/>
              </w:rPr>
            </w:pPr>
            <w:r w:rsidRPr="000F5598">
              <w:rPr>
                <w:rFonts w:ascii="Verdana" w:eastAsia="Calibri" w:hAnsi="Verdana" w:cs="Arial"/>
                <w:b/>
                <w:color w:val="FFFFFF"/>
              </w:rPr>
              <w:t>Categoría (ponderación)</w:t>
            </w:r>
          </w:p>
        </w:tc>
        <w:tc>
          <w:tcPr>
            <w:tcW w:w="2943" w:type="dxa"/>
            <w:shd w:val="clear" w:color="auto" w:fill="0D0D0D"/>
          </w:tcPr>
          <w:p w14:paraId="7A2EC1FE" w14:textId="77777777" w:rsidR="002E658A" w:rsidRPr="000F5598" w:rsidRDefault="002E658A" w:rsidP="00D82A6D">
            <w:pPr>
              <w:jc w:val="center"/>
              <w:rPr>
                <w:rFonts w:ascii="Verdana" w:eastAsia="Calibri" w:hAnsi="Verdana" w:cs="Arial"/>
                <w:b/>
                <w:color w:val="FFFFFF"/>
              </w:rPr>
            </w:pPr>
            <w:r w:rsidRPr="000F5598">
              <w:rPr>
                <w:rFonts w:ascii="Verdana" w:eastAsia="Calibri" w:hAnsi="Verdana" w:cs="Arial"/>
                <w:b/>
                <w:color w:val="FFFFFF"/>
              </w:rPr>
              <w:t>Indicador</w:t>
            </w:r>
          </w:p>
        </w:tc>
        <w:tc>
          <w:tcPr>
            <w:tcW w:w="2943" w:type="dxa"/>
            <w:shd w:val="clear" w:color="auto" w:fill="0D0D0D"/>
          </w:tcPr>
          <w:p w14:paraId="6ED524C8" w14:textId="77777777" w:rsidR="002E658A" w:rsidRPr="000F5598" w:rsidRDefault="002E658A" w:rsidP="00D82A6D">
            <w:pPr>
              <w:jc w:val="center"/>
              <w:rPr>
                <w:rFonts w:ascii="Verdana" w:eastAsia="Calibri" w:hAnsi="Verdana" w:cs="Arial"/>
                <w:b/>
                <w:color w:val="FFFFFF"/>
              </w:rPr>
            </w:pPr>
            <w:r w:rsidRPr="000F5598">
              <w:rPr>
                <w:rFonts w:ascii="Verdana" w:eastAsia="Calibri" w:hAnsi="Verdana" w:cs="Arial"/>
                <w:b/>
                <w:color w:val="FFFFFF"/>
              </w:rPr>
              <w:t>Ponderación del indicador</w:t>
            </w:r>
          </w:p>
        </w:tc>
      </w:tr>
      <w:tr w:rsidR="002E658A" w:rsidRPr="000F5598" w14:paraId="0F6A211A" w14:textId="77777777" w:rsidTr="00D82A6D">
        <w:trPr>
          <w:jc w:val="center"/>
        </w:trPr>
        <w:tc>
          <w:tcPr>
            <w:tcW w:w="2942" w:type="dxa"/>
          </w:tcPr>
          <w:p w14:paraId="15E9384B" w14:textId="77777777" w:rsidR="002E658A" w:rsidRPr="000F5598" w:rsidRDefault="002E658A" w:rsidP="00D82A6D">
            <w:pPr>
              <w:jc w:val="center"/>
              <w:rPr>
                <w:rFonts w:ascii="Verdana" w:eastAsia="Calibri" w:hAnsi="Verdana" w:cs="Arial"/>
              </w:rPr>
            </w:pPr>
          </w:p>
          <w:p w14:paraId="2F21613A" w14:textId="77777777" w:rsidR="002E658A" w:rsidRPr="000F5598" w:rsidRDefault="002E658A" w:rsidP="00D82A6D">
            <w:pPr>
              <w:jc w:val="center"/>
              <w:rPr>
                <w:rFonts w:ascii="Verdana" w:eastAsia="Calibri" w:hAnsi="Verdana" w:cs="Arial"/>
              </w:rPr>
            </w:pPr>
          </w:p>
          <w:p w14:paraId="2E9BBF98" w14:textId="77777777" w:rsidR="002E658A" w:rsidRPr="000F5598" w:rsidRDefault="002E658A" w:rsidP="00D82A6D">
            <w:pPr>
              <w:jc w:val="center"/>
              <w:rPr>
                <w:rFonts w:ascii="Verdana" w:eastAsia="Calibri" w:hAnsi="Verdana" w:cs="Arial"/>
              </w:rPr>
            </w:pPr>
            <w:r w:rsidRPr="000F5598">
              <w:rPr>
                <w:rFonts w:ascii="Verdana" w:eastAsia="Calibri" w:hAnsi="Verdana" w:cs="Arial"/>
              </w:rPr>
              <w:t>Tamaño (25%)</w:t>
            </w:r>
          </w:p>
        </w:tc>
        <w:tc>
          <w:tcPr>
            <w:tcW w:w="2943" w:type="dxa"/>
          </w:tcPr>
          <w:p w14:paraId="2811F5AC" w14:textId="77777777" w:rsidR="002E658A" w:rsidRPr="000F5598" w:rsidRDefault="002E658A" w:rsidP="00D82A6D">
            <w:pPr>
              <w:jc w:val="center"/>
              <w:rPr>
                <w:rFonts w:ascii="Verdana" w:eastAsia="Calibri" w:hAnsi="Verdana" w:cs="Arial"/>
              </w:rPr>
            </w:pPr>
            <w:r w:rsidRPr="000F5598">
              <w:rPr>
                <w:rFonts w:ascii="Verdana" w:eastAsia="Calibri" w:hAnsi="Verdana" w:cs="Arial"/>
              </w:rPr>
              <w:t>Exposición total calculada como el valor de apalancamiento al que se refiere el artículo 2.1.1.3.6 del Decreto 2555 de 2010</w:t>
            </w:r>
          </w:p>
        </w:tc>
        <w:tc>
          <w:tcPr>
            <w:tcW w:w="2943" w:type="dxa"/>
          </w:tcPr>
          <w:p w14:paraId="540A9DF3" w14:textId="77777777" w:rsidR="002E658A" w:rsidRPr="000F5598" w:rsidRDefault="002E658A" w:rsidP="00D82A6D">
            <w:pPr>
              <w:jc w:val="center"/>
              <w:rPr>
                <w:rFonts w:ascii="Verdana" w:eastAsia="Calibri" w:hAnsi="Verdana" w:cs="Arial"/>
              </w:rPr>
            </w:pPr>
          </w:p>
          <w:p w14:paraId="365A64A5" w14:textId="77777777" w:rsidR="002E658A" w:rsidRPr="000F5598" w:rsidRDefault="002E658A" w:rsidP="00D82A6D">
            <w:pPr>
              <w:jc w:val="center"/>
              <w:rPr>
                <w:rFonts w:ascii="Verdana" w:eastAsia="Calibri" w:hAnsi="Verdana" w:cs="Arial"/>
              </w:rPr>
            </w:pPr>
          </w:p>
          <w:p w14:paraId="44D3E0F6" w14:textId="77777777" w:rsidR="002E658A" w:rsidRPr="000F5598" w:rsidRDefault="002E658A" w:rsidP="00D82A6D">
            <w:pPr>
              <w:jc w:val="center"/>
              <w:rPr>
                <w:rFonts w:ascii="Verdana" w:eastAsia="Calibri" w:hAnsi="Verdana" w:cs="Arial"/>
              </w:rPr>
            </w:pPr>
            <w:r w:rsidRPr="000F5598">
              <w:rPr>
                <w:rFonts w:ascii="Verdana" w:eastAsia="Calibri" w:hAnsi="Verdana" w:cs="Arial"/>
              </w:rPr>
              <w:t>25%</w:t>
            </w:r>
          </w:p>
        </w:tc>
      </w:tr>
      <w:tr w:rsidR="002E658A" w:rsidRPr="000F5598" w14:paraId="12D92AE8" w14:textId="77777777" w:rsidTr="00D82A6D">
        <w:trPr>
          <w:jc w:val="center"/>
        </w:trPr>
        <w:tc>
          <w:tcPr>
            <w:tcW w:w="2942" w:type="dxa"/>
            <w:vMerge w:val="restart"/>
          </w:tcPr>
          <w:p w14:paraId="75848CDA" w14:textId="77777777" w:rsidR="002E658A" w:rsidRPr="000F5598" w:rsidRDefault="002E658A" w:rsidP="00D82A6D">
            <w:pPr>
              <w:jc w:val="center"/>
              <w:rPr>
                <w:rFonts w:ascii="Verdana" w:eastAsia="Calibri" w:hAnsi="Verdana" w:cs="Arial"/>
              </w:rPr>
            </w:pPr>
          </w:p>
          <w:p w14:paraId="791C800D" w14:textId="77777777" w:rsidR="002E658A" w:rsidRPr="000F5598" w:rsidRDefault="002E658A" w:rsidP="00D82A6D">
            <w:pPr>
              <w:jc w:val="center"/>
              <w:rPr>
                <w:rFonts w:ascii="Verdana" w:eastAsia="Calibri" w:hAnsi="Verdana" w:cs="Arial"/>
              </w:rPr>
            </w:pPr>
          </w:p>
          <w:p w14:paraId="55697279" w14:textId="77777777" w:rsidR="002E658A" w:rsidRPr="000F5598" w:rsidRDefault="002E658A" w:rsidP="00D82A6D">
            <w:pPr>
              <w:jc w:val="center"/>
              <w:rPr>
                <w:rFonts w:ascii="Verdana" w:eastAsia="Calibri" w:hAnsi="Verdana" w:cs="Arial"/>
              </w:rPr>
            </w:pPr>
            <w:r w:rsidRPr="000F5598">
              <w:rPr>
                <w:rFonts w:ascii="Verdana" w:eastAsia="Calibri" w:hAnsi="Verdana" w:cs="Arial"/>
              </w:rPr>
              <w:t>Interconexión (25%)</w:t>
            </w:r>
          </w:p>
        </w:tc>
        <w:tc>
          <w:tcPr>
            <w:tcW w:w="2943" w:type="dxa"/>
          </w:tcPr>
          <w:p w14:paraId="4959809F" w14:textId="77777777" w:rsidR="002E658A" w:rsidRPr="000F5598" w:rsidRDefault="002E658A" w:rsidP="00D82A6D">
            <w:pPr>
              <w:jc w:val="center"/>
              <w:rPr>
                <w:rFonts w:ascii="Verdana" w:eastAsia="Calibri" w:hAnsi="Verdana" w:cs="Arial"/>
              </w:rPr>
            </w:pPr>
            <w:r w:rsidRPr="000F5598">
              <w:rPr>
                <w:rFonts w:ascii="Verdana" w:eastAsia="Calibri" w:hAnsi="Verdana" w:cs="Arial"/>
              </w:rPr>
              <w:t>Activos dentro del sistema financiero</w:t>
            </w:r>
          </w:p>
        </w:tc>
        <w:tc>
          <w:tcPr>
            <w:tcW w:w="2943" w:type="dxa"/>
          </w:tcPr>
          <w:p w14:paraId="09A8267C"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r w:rsidR="002E658A" w:rsidRPr="000F5598" w14:paraId="0A447077" w14:textId="77777777" w:rsidTr="00D82A6D">
        <w:trPr>
          <w:jc w:val="center"/>
        </w:trPr>
        <w:tc>
          <w:tcPr>
            <w:tcW w:w="2942" w:type="dxa"/>
            <w:vMerge/>
          </w:tcPr>
          <w:p w14:paraId="304FC12D" w14:textId="77777777" w:rsidR="002E658A" w:rsidRPr="000F5598" w:rsidRDefault="002E658A" w:rsidP="00D82A6D">
            <w:pPr>
              <w:jc w:val="center"/>
              <w:rPr>
                <w:rFonts w:ascii="Verdana" w:eastAsia="Calibri" w:hAnsi="Verdana" w:cs="Arial"/>
              </w:rPr>
            </w:pPr>
          </w:p>
        </w:tc>
        <w:tc>
          <w:tcPr>
            <w:tcW w:w="2943" w:type="dxa"/>
          </w:tcPr>
          <w:p w14:paraId="7EB2AC57" w14:textId="77777777" w:rsidR="002E658A" w:rsidRPr="000F5598" w:rsidRDefault="002E658A" w:rsidP="00D82A6D">
            <w:pPr>
              <w:jc w:val="center"/>
              <w:rPr>
                <w:rFonts w:ascii="Verdana" w:eastAsia="Calibri" w:hAnsi="Verdana" w:cs="Arial"/>
              </w:rPr>
            </w:pPr>
            <w:r w:rsidRPr="000F5598">
              <w:rPr>
                <w:rFonts w:ascii="Verdana" w:eastAsia="Calibri" w:hAnsi="Verdana" w:cs="Arial"/>
              </w:rPr>
              <w:t>Pasivos dentro del sistema financiero</w:t>
            </w:r>
          </w:p>
        </w:tc>
        <w:tc>
          <w:tcPr>
            <w:tcW w:w="2943" w:type="dxa"/>
          </w:tcPr>
          <w:p w14:paraId="278A935F"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r w:rsidR="002E658A" w:rsidRPr="000F5598" w14:paraId="64E00793" w14:textId="77777777" w:rsidTr="00D82A6D">
        <w:trPr>
          <w:jc w:val="center"/>
        </w:trPr>
        <w:tc>
          <w:tcPr>
            <w:tcW w:w="2942" w:type="dxa"/>
            <w:vMerge/>
          </w:tcPr>
          <w:p w14:paraId="7E9B4D9C" w14:textId="77777777" w:rsidR="002E658A" w:rsidRPr="000F5598" w:rsidRDefault="002E658A" w:rsidP="00D82A6D">
            <w:pPr>
              <w:jc w:val="center"/>
              <w:rPr>
                <w:rFonts w:ascii="Verdana" w:eastAsia="Calibri" w:hAnsi="Verdana" w:cs="Arial"/>
              </w:rPr>
            </w:pPr>
          </w:p>
        </w:tc>
        <w:tc>
          <w:tcPr>
            <w:tcW w:w="2943" w:type="dxa"/>
          </w:tcPr>
          <w:p w14:paraId="26FD4558" w14:textId="77777777" w:rsidR="002E658A" w:rsidRPr="000F5598" w:rsidRDefault="002E658A" w:rsidP="00D82A6D">
            <w:pPr>
              <w:jc w:val="center"/>
              <w:rPr>
                <w:rFonts w:ascii="Verdana" w:eastAsia="Calibri" w:hAnsi="Verdana" w:cs="Arial"/>
              </w:rPr>
            </w:pPr>
            <w:r w:rsidRPr="000F5598">
              <w:rPr>
                <w:rFonts w:ascii="Verdana" w:eastAsia="Calibri" w:hAnsi="Verdana" w:cs="Arial"/>
              </w:rPr>
              <w:t>Títulos en circulación</w:t>
            </w:r>
          </w:p>
        </w:tc>
        <w:tc>
          <w:tcPr>
            <w:tcW w:w="2943" w:type="dxa"/>
          </w:tcPr>
          <w:p w14:paraId="5D5A1B8E"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r w:rsidR="002E658A" w:rsidRPr="000F5598" w14:paraId="12591FAC" w14:textId="77777777" w:rsidTr="00D82A6D">
        <w:trPr>
          <w:jc w:val="center"/>
        </w:trPr>
        <w:tc>
          <w:tcPr>
            <w:tcW w:w="2942" w:type="dxa"/>
            <w:vMerge w:val="restart"/>
          </w:tcPr>
          <w:p w14:paraId="018F8F50" w14:textId="77777777" w:rsidR="002E658A" w:rsidRPr="000F5598" w:rsidRDefault="002E658A" w:rsidP="00D82A6D">
            <w:pPr>
              <w:jc w:val="center"/>
              <w:rPr>
                <w:rFonts w:ascii="Verdana" w:eastAsia="Calibri" w:hAnsi="Verdana" w:cs="Arial"/>
              </w:rPr>
            </w:pPr>
          </w:p>
          <w:p w14:paraId="7B799BAB" w14:textId="77777777" w:rsidR="002E658A" w:rsidRPr="000F5598" w:rsidRDefault="002E658A" w:rsidP="00D82A6D">
            <w:pPr>
              <w:jc w:val="center"/>
              <w:rPr>
                <w:rFonts w:ascii="Verdana" w:eastAsia="Calibri" w:hAnsi="Verdana" w:cs="Arial"/>
              </w:rPr>
            </w:pPr>
            <w:r w:rsidRPr="000F5598">
              <w:rPr>
                <w:rFonts w:ascii="Verdana" w:eastAsia="Calibri" w:hAnsi="Verdana" w:cs="Arial"/>
              </w:rPr>
              <w:t>Sustituibilidad (25%)</w:t>
            </w:r>
          </w:p>
        </w:tc>
        <w:tc>
          <w:tcPr>
            <w:tcW w:w="2943" w:type="dxa"/>
          </w:tcPr>
          <w:p w14:paraId="0355E464" w14:textId="77777777" w:rsidR="002E658A" w:rsidRPr="000F5598" w:rsidRDefault="002E658A" w:rsidP="00D82A6D">
            <w:pPr>
              <w:jc w:val="center"/>
              <w:rPr>
                <w:rFonts w:ascii="Verdana" w:eastAsia="Calibri" w:hAnsi="Verdana" w:cs="Arial"/>
              </w:rPr>
            </w:pPr>
            <w:r w:rsidRPr="000F5598">
              <w:rPr>
                <w:rFonts w:ascii="Verdana" w:eastAsia="Calibri" w:hAnsi="Verdana" w:cs="Arial"/>
              </w:rPr>
              <w:t xml:space="preserve">Pagos liquidados y </w:t>
            </w:r>
            <w:r w:rsidR="00E22ACC" w:rsidRPr="000F5598">
              <w:rPr>
                <w:rFonts w:ascii="Verdana" w:eastAsia="Calibri" w:hAnsi="Verdana" w:cs="Arial"/>
              </w:rPr>
              <w:t>compensados</w:t>
            </w:r>
            <w:r w:rsidRPr="000F5598">
              <w:rPr>
                <w:rFonts w:ascii="Verdana" w:eastAsia="Calibri" w:hAnsi="Verdana" w:cs="Arial"/>
              </w:rPr>
              <w:t xml:space="preserve"> a través del sistema de pagos</w:t>
            </w:r>
          </w:p>
        </w:tc>
        <w:tc>
          <w:tcPr>
            <w:tcW w:w="2943" w:type="dxa"/>
          </w:tcPr>
          <w:p w14:paraId="11277353" w14:textId="77777777" w:rsidR="002E658A" w:rsidRPr="000F5598" w:rsidRDefault="002E658A" w:rsidP="00D82A6D">
            <w:pPr>
              <w:jc w:val="center"/>
              <w:rPr>
                <w:rFonts w:ascii="Verdana" w:eastAsia="Calibri" w:hAnsi="Verdana" w:cs="Arial"/>
              </w:rPr>
            </w:pPr>
          </w:p>
          <w:p w14:paraId="317FE3F6" w14:textId="77777777" w:rsidR="002E658A" w:rsidRPr="000F5598" w:rsidRDefault="002E658A" w:rsidP="00D82A6D">
            <w:pPr>
              <w:jc w:val="center"/>
              <w:rPr>
                <w:rFonts w:ascii="Verdana" w:eastAsia="Calibri" w:hAnsi="Verdana" w:cs="Arial"/>
              </w:rPr>
            </w:pPr>
            <w:r w:rsidRPr="000F5598">
              <w:rPr>
                <w:rFonts w:ascii="Verdana" w:eastAsia="Calibri" w:hAnsi="Verdana" w:cs="Arial"/>
              </w:rPr>
              <w:t>12.5%</w:t>
            </w:r>
          </w:p>
        </w:tc>
      </w:tr>
      <w:tr w:rsidR="002E658A" w:rsidRPr="000F5598" w14:paraId="4FF733C1" w14:textId="77777777" w:rsidTr="00D82A6D">
        <w:trPr>
          <w:jc w:val="center"/>
        </w:trPr>
        <w:tc>
          <w:tcPr>
            <w:tcW w:w="2942" w:type="dxa"/>
            <w:vMerge/>
          </w:tcPr>
          <w:p w14:paraId="0020D205" w14:textId="77777777" w:rsidR="002E658A" w:rsidRPr="000F5598" w:rsidRDefault="002E658A" w:rsidP="00D82A6D">
            <w:pPr>
              <w:jc w:val="center"/>
              <w:rPr>
                <w:rFonts w:ascii="Verdana" w:eastAsia="Calibri" w:hAnsi="Verdana" w:cs="Arial"/>
              </w:rPr>
            </w:pPr>
          </w:p>
        </w:tc>
        <w:tc>
          <w:tcPr>
            <w:tcW w:w="2943" w:type="dxa"/>
          </w:tcPr>
          <w:p w14:paraId="0625B6B4" w14:textId="77777777" w:rsidR="002E658A" w:rsidRPr="000F5598" w:rsidRDefault="002E658A" w:rsidP="00D82A6D">
            <w:pPr>
              <w:jc w:val="center"/>
              <w:rPr>
                <w:rFonts w:ascii="Verdana" w:eastAsia="Calibri" w:hAnsi="Verdana" w:cs="Arial"/>
              </w:rPr>
            </w:pPr>
            <w:r w:rsidRPr="000F5598">
              <w:rPr>
                <w:rFonts w:ascii="Verdana" w:eastAsia="Calibri" w:hAnsi="Verdana" w:cs="Arial"/>
              </w:rPr>
              <w:t>Volumen transado</w:t>
            </w:r>
          </w:p>
        </w:tc>
        <w:tc>
          <w:tcPr>
            <w:tcW w:w="2943" w:type="dxa"/>
          </w:tcPr>
          <w:p w14:paraId="6FDEC34C" w14:textId="77777777" w:rsidR="002E658A" w:rsidRPr="000F5598" w:rsidRDefault="002E658A" w:rsidP="00D82A6D">
            <w:pPr>
              <w:jc w:val="center"/>
              <w:rPr>
                <w:rFonts w:ascii="Verdana" w:eastAsia="Calibri" w:hAnsi="Verdana" w:cs="Arial"/>
              </w:rPr>
            </w:pPr>
            <w:r w:rsidRPr="000F5598">
              <w:rPr>
                <w:rFonts w:ascii="Verdana" w:eastAsia="Calibri" w:hAnsi="Verdana" w:cs="Arial"/>
              </w:rPr>
              <w:t>12.5%</w:t>
            </w:r>
          </w:p>
        </w:tc>
      </w:tr>
      <w:tr w:rsidR="002E658A" w:rsidRPr="000F5598" w14:paraId="4FCB115B" w14:textId="77777777" w:rsidTr="00D82A6D">
        <w:trPr>
          <w:jc w:val="center"/>
        </w:trPr>
        <w:tc>
          <w:tcPr>
            <w:tcW w:w="2942" w:type="dxa"/>
            <w:vMerge w:val="restart"/>
          </w:tcPr>
          <w:p w14:paraId="59895172" w14:textId="77777777" w:rsidR="002E658A" w:rsidRPr="000F5598" w:rsidRDefault="002E658A" w:rsidP="00D82A6D">
            <w:pPr>
              <w:jc w:val="center"/>
              <w:rPr>
                <w:rFonts w:ascii="Verdana" w:eastAsia="Calibri" w:hAnsi="Verdana" w:cs="Arial"/>
              </w:rPr>
            </w:pPr>
          </w:p>
          <w:p w14:paraId="0406768F" w14:textId="77777777" w:rsidR="002E658A" w:rsidRPr="000F5598" w:rsidRDefault="002E658A" w:rsidP="00D82A6D">
            <w:pPr>
              <w:jc w:val="center"/>
              <w:rPr>
                <w:rFonts w:ascii="Verdana" w:eastAsia="Calibri" w:hAnsi="Verdana" w:cs="Arial"/>
              </w:rPr>
            </w:pPr>
          </w:p>
          <w:p w14:paraId="06FEEDE5" w14:textId="77777777" w:rsidR="002E658A" w:rsidRPr="000F5598" w:rsidRDefault="002E658A" w:rsidP="00D82A6D">
            <w:pPr>
              <w:jc w:val="center"/>
              <w:rPr>
                <w:rFonts w:ascii="Verdana" w:eastAsia="Calibri" w:hAnsi="Verdana" w:cs="Arial"/>
              </w:rPr>
            </w:pPr>
            <w:r w:rsidRPr="000F5598">
              <w:rPr>
                <w:rFonts w:ascii="Verdana" w:eastAsia="Calibri" w:hAnsi="Verdana" w:cs="Arial"/>
              </w:rPr>
              <w:t>Complejidad (25%)</w:t>
            </w:r>
          </w:p>
        </w:tc>
        <w:tc>
          <w:tcPr>
            <w:tcW w:w="2943" w:type="dxa"/>
          </w:tcPr>
          <w:p w14:paraId="7CF92887" w14:textId="77777777" w:rsidR="002E658A" w:rsidRPr="000F5598" w:rsidRDefault="002E658A" w:rsidP="00E22ACC">
            <w:pPr>
              <w:jc w:val="center"/>
              <w:rPr>
                <w:rFonts w:ascii="Verdana" w:eastAsia="Calibri" w:hAnsi="Verdana" w:cs="Arial"/>
              </w:rPr>
            </w:pPr>
            <w:r w:rsidRPr="000F5598">
              <w:rPr>
                <w:rFonts w:ascii="Verdana" w:eastAsia="Calibri" w:hAnsi="Verdana" w:cs="Arial"/>
              </w:rPr>
              <w:t>Derivados (OTC)</w:t>
            </w:r>
          </w:p>
        </w:tc>
        <w:tc>
          <w:tcPr>
            <w:tcW w:w="2943" w:type="dxa"/>
          </w:tcPr>
          <w:p w14:paraId="7D94C80A"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r w:rsidR="002E658A" w:rsidRPr="000F5598" w14:paraId="36C6DBEA" w14:textId="77777777" w:rsidTr="00D82A6D">
        <w:trPr>
          <w:jc w:val="center"/>
        </w:trPr>
        <w:tc>
          <w:tcPr>
            <w:tcW w:w="2942" w:type="dxa"/>
            <w:vMerge/>
          </w:tcPr>
          <w:p w14:paraId="3C65B54A" w14:textId="77777777" w:rsidR="002E658A" w:rsidRPr="000F5598" w:rsidRDefault="002E658A" w:rsidP="00D82A6D">
            <w:pPr>
              <w:jc w:val="center"/>
              <w:rPr>
                <w:rFonts w:ascii="Verdana" w:eastAsia="Calibri" w:hAnsi="Verdana" w:cs="Arial"/>
              </w:rPr>
            </w:pPr>
          </w:p>
        </w:tc>
        <w:tc>
          <w:tcPr>
            <w:tcW w:w="2943" w:type="dxa"/>
          </w:tcPr>
          <w:p w14:paraId="24E89A92" w14:textId="77777777" w:rsidR="002E658A" w:rsidRPr="000F5598" w:rsidRDefault="002E658A" w:rsidP="00D82A6D">
            <w:pPr>
              <w:jc w:val="center"/>
              <w:rPr>
                <w:rFonts w:ascii="Verdana" w:eastAsia="Calibri" w:hAnsi="Verdana" w:cs="Arial"/>
              </w:rPr>
            </w:pPr>
            <w:r w:rsidRPr="000F5598">
              <w:rPr>
                <w:rFonts w:ascii="Verdana" w:eastAsia="Calibri" w:hAnsi="Verdana" w:cs="Arial"/>
              </w:rPr>
              <w:t>Activos de nivel 3</w:t>
            </w:r>
            <w:r w:rsidR="00E22ACC" w:rsidRPr="000F5598">
              <w:rPr>
                <w:rFonts w:ascii="Verdana" w:eastAsia="Calibri" w:hAnsi="Verdana" w:cs="Arial"/>
              </w:rPr>
              <w:t>*</w:t>
            </w:r>
          </w:p>
        </w:tc>
        <w:tc>
          <w:tcPr>
            <w:tcW w:w="2943" w:type="dxa"/>
          </w:tcPr>
          <w:p w14:paraId="0A7E9FD8"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r w:rsidR="002E658A" w:rsidRPr="000F5598" w14:paraId="0803C397" w14:textId="77777777" w:rsidTr="00DF15DA">
        <w:trPr>
          <w:trHeight w:val="155"/>
          <w:jc w:val="center"/>
        </w:trPr>
        <w:tc>
          <w:tcPr>
            <w:tcW w:w="2942" w:type="dxa"/>
            <w:vMerge/>
          </w:tcPr>
          <w:p w14:paraId="05EF6D90" w14:textId="77777777" w:rsidR="002E658A" w:rsidRPr="000F5598" w:rsidRDefault="002E658A" w:rsidP="00D82A6D">
            <w:pPr>
              <w:jc w:val="center"/>
              <w:rPr>
                <w:rFonts w:ascii="Verdana" w:eastAsia="Calibri" w:hAnsi="Verdana" w:cs="Arial"/>
              </w:rPr>
            </w:pPr>
          </w:p>
        </w:tc>
        <w:tc>
          <w:tcPr>
            <w:tcW w:w="2943" w:type="dxa"/>
          </w:tcPr>
          <w:p w14:paraId="4D4AE0B6" w14:textId="77777777" w:rsidR="002E658A" w:rsidRPr="000F5598" w:rsidRDefault="002E658A" w:rsidP="00D82A6D">
            <w:pPr>
              <w:jc w:val="center"/>
              <w:rPr>
                <w:rFonts w:ascii="Verdana" w:eastAsia="Calibri" w:hAnsi="Verdana" w:cs="Arial"/>
              </w:rPr>
            </w:pPr>
            <w:r w:rsidRPr="000F5598">
              <w:rPr>
                <w:rFonts w:ascii="Verdana" w:eastAsia="Calibri" w:hAnsi="Verdana" w:cs="Arial"/>
              </w:rPr>
              <w:t>Inversiones negociables y disponibles para la venta</w:t>
            </w:r>
          </w:p>
        </w:tc>
        <w:tc>
          <w:tcPr>
            <w:tcW w:w="2943" w:type="dxa"/>
          </w:tcPr>
          <w:p w14:paraId="4C9B972F" w14:textId="77777777" w:rsidR="002E658A" w:rsidRPr="000F5598" w:rsidRDefault="002E658A" w:rsidP="00D82A6D">
            <w:pPr>
              <w:jc w:val="center"/>
              <w:rPr>
                <w:rFonts w:ascii="Verdana" w:eastAsia="Calibri" w:hAnsi="Verdana" w:cs="Arial"/>
              </w:rPr>
            </w:pPr>
            <w:r w:rsidRPr="000F5598">
              <w:rPr>
                <w:rFonts w:ascii="Verdana" w:eastAsia="Calibri" w:hAnsi="Verdana" w:cs="Arial"/>
              </w:rPr>
              <w:t>8.3%</w:t>
            </w:r>
          </w:p>
        </w:tc>
      </w:tr>
    </w:tbl>
    <w:p w14:paraId="13731F59" w14:textId="3DEC3D94" w:rsidR="00C03D8E" w:rsidRPr="000F5598" w:rsidRDefault="00E22ACC" w:rsidP="00ED5CA4">
      <w:pPr>
        <w:ind w:left="336"/>
        <w:jc w:val="both"/>
        <w:rPr>
          <w:rFonts w:ascii="Verdana" w:hAnsi="Verdana" w:cs="Arial"/>
          <w:sz w:val="16"/>
          <w:szCs w:val="16"/>
        </w:rPr>
      </w:pPr>
      <w:r w:rsidRPr="000F5598">
        <w:rPr>
          <w:rFonts w:ascii="Verdana" w:hAnsi="Verdana" w:cs="Arial"/>
          <w:sz w:val="16"/>
          <w:szCs w:val="16"/>
        </w:rPr>
        <w:t xml:space="preserve">* Activos que no tienen información de mercado observable para su valoración, conforme a la jerarquía de </w:t>
      </w:r>
      <w:r w:rsidR="00272DB4" w:rsidRPr="000F5598">
        <w:rPr>
          <w:rFonts w:ascii="Verdana" w:hAnsi="Verdana" w:cs="Arial"/>
          <w:sz w:val="16"/>
          <w:szCs w:val="16"/>
        </w:rPr>
        <w:t xml:space="preserve">valor </w:t>
      </w:r>
      <w:r w:rsidR="00272DB4">
        <w:rPr>
          <w:rFonts w:ascii="Verdana" w:hAnsi="Verdana" w:cs="Arial"/>
          <w:sz w:val="16"/>
          <w:szCs w:val="16"/>
        </w:rPr>
        <w:t>razonable</w:t>
      </w:r>
      <w:r w:rsidRPr="000F5598">
        <w:rPr>
          <w:rFonts w:ascii="Verdana" w:hAnsi="Verdana" w:cs="Arial"/>
          <w:sz w:val="16"/>
          <w:szCs w:val="16"/>
        </w:rPr>
        <w:t xml:space="preserve"> </w:t>
      </w:r>
      <w:r w:rsidR="00272DB4">
        <w:rPr>
          <w:rFonts w:ascii="Verdana" w:hAnsi="Verdana" w:cs="Arial"/>
          <w:sz w:val="16"/>
          <w:szCs w:val="16"/>
        </w:rPr>
        <w:t xml:space="preserve">según los principios </w:t>
      </w:r>
      <w:r w:rsidRPr="000F5598">
        <w:rPr>
          <w:rFonts w:ascii="Verdana" w:hAnsi="Verdana" w:cs="Arial"/>
          <w:sz w:val="16"/>
          <w:szCs w:val="16"/>
        </w:rPr>
        <w:t>de</w:t>
      </w:r>
      <w:r w:rsidR="005C2440">
        <w:rPr>
          <w:rFonts w:ascii="Verdana" w:hAnsi="Verdana" w:cs="Arial"/>
          <w:sz w:val="16"/>
          <w:szCs w:val="16"/>
        </w:rPr>
        <w:t xml:space="preserve"> </w:t>
      </w:r>
      <w:r w:rsidRPr="000F5598">
        <w:rPr>
          <w:rFonts w:ascii="Verdana" w:hAnsi="Verdana" w:cs="Arial"/>
          <w:sz w:val="16"/>
          <w:szCs w:val="16"/>
        </w:rPr>
        <w:t>l</w:t>
      </w:r>
      <w:r w:rsidR="005C2440">
        <w:rPr>
          <w:rFonts w:ascii="Verdana" w:hAnsi="Verdana" w:cs="Arial"/>
          <w:sz w:val="16"/>
          <w:szCs w:val="16"/>
        </w:rPr>
        <w:t>as NIIF</w:t>
      </w:r>
    </w:p>
    <w:p w14:paraId="4286423E" w14:textId="77777777" w:rsidR="00C03D8E" w:rsidRPr="000F5598" w:rsidRDefault="00C03D8E" w:rsidP="005C2440">
      <w:pPr>
        <w:ind w:firstLine="336"/>
        <w:jc w:val="both"/>
        <w:rPr>
          <w:rFonts w:ascii="Verdana" w:hAnsi="Verdana" w:cs="Arial"/>
          <w:sz w:val="16"/>
          <w:szCs w:val="16"/>
        </w:rPr>
      </w:pPr>
      <w:r w:rsidRPr="005C2440">
        <w:rPr>
          <w:rFonts w:ascii="Verdana" w:hAnsi="Verdana" w:cs="Arial"/>
          <w:bCs/>
          <w:sz w:val="16"/>
          <w:szCs w:val="16"/>
        </w:rPr>
        <w:t xml:space="preserve">Fuente: </w:t>
      </w:r>
      <w:r w:rsidRPr="000F5598">
        <w:rPr>
          <w:rFonts w:ascii="Verdana" w:hAnsi="Verdana" w:cs="Arial"/>
          <w:sz w:val="16"/>
          <w:szCs w:val="16"/>
        </w:rPr>
        <w:t xml:space="preserve">Basilea (2018), SFC. </w:t>
      </w:r>
    </w:p>
    <w:p w14:paraId="401DCAC3" w14:textId="77777777" w:rsidR="482737D6" w:rsidRDefault="482737D6" w:rsidP="482737D6">
      <w:pPr>
        <w:jc w:val="both"/>
        <w:rPr>
          <w:rFonts w:ascii="Verdana" w:hAnsi="Verdana" w:cs="Arial"/>
          <w:lang w:val="es-CO"/>
        </w:rPr>
      </w:pPr>
    </w:p>
    <w:p w14:paraId="6A5922FC" w14:textId="4C1D11BC" w:rsidR="10933CE1" w:rsidRDefault="10933CE1" w:rsidP="482737D6">
      <w:pPr>
        <w:jc w:val="both"/>
        <w:rPr>
          <w:rFonts w:ascii="Verdana" w:hAnsi="Verdana" w:cs="Arial"/>
          <w:lang w:val="es-CO"/>
        </w:rPr>
      </w:pPr>
      <w:r w:rsidRPr="482737D6">
        <w:rPr>
          <w:rFonts w:ascii="Verdana" w:hAnsi="Verdana" w:cs="Arial"/>
          <w:lang w:val="es-CO"/>
        </w:rPr>
        <w:t>2.1.A2.</w:t>
      </w:r>
      <w:r w:rsidRPr="02FBDA18">
        <w:rPr>
          <w:rFonts w:ascii="Verdana" w:hAnsi="Verdana" w:cs="Arial"/>
          <w:lang w:val="es-CO"/>
        </w:rPr>
        <w:t>5</w:t>
      </w:r>
      <w:r w:rsidRPr="482737D6">
        <w:rPr>
          <w:rFonts w:ascii="Verdana" w:hAnsi="Verdana" w:cs="Arial"/>
          <w:lang w:val="es-CO"/>
        </w:rPr>
        <w:t>.</w:t>
      </w:r>
    </w:p>
    <w:p w14:paraId="54A45BD1" w14:textId="76CD6D16" w:rsidR="009F5EAF" w:rsidRPr="000F5598" w:rsidRDefault="009F5EAF" w:rsidP="009F5EAF">
      <w:pPr>
        <w:jc w:val="both"/>
        <w:rPr>
          <w:rFonts w:ascii="Verdana" w:hAnsi="Verdana" w:cs="Arial"/>
          <w:lang w:val="es-CO"/>
        </w:rPr>
      </w:pPr>
      <w:r w:rsidRPr="000F5598">
        <w:rPr>
          <w:rFonts w:ascii="Verdana" w:hAnsi="Verdana" w:cs="Arial"/>
          <w:lang w:val="es-CO"/>
        </w:rPr>
        <w:t xml:space="preserve">El tamaño es la medida tradicional de importancia sistémica dado que cuanto mayor sea la dimensión de una entidad, más difícil será que otras </w:t>
      </w:r>
      <w:r w:rsidR="005A23A5">
        <w:rPr>
          <w:rFonts w:ascii="Verdana" w:hAnsi="Verdana" w:cs="Arial"/>
          <w:lang w:val="es-CO"/>
        </w:rPr>
        <w:t xml:space="preserve">entidades </w:t>
      </w:r>
      <w:r w:rsidRPr="000F5598">
        <w:rPr>
          <w:rFonts w:ascii="Verdana" w:hAnsi="Verdana" w:cs="Arial"/>
          <w:lang w:val="es-CO"/>
        </w:rPr>
        <w:t>asuman rápidamente sus actividades, y por lo tanto mayor será la probabilidad de que su quiebra altere el funcionamiento del mercado. Este indicador se mide utilizando el valor de apalancamiento al que se refiere el artículo 2.1.1.3.6 del Decreto 2555 de 2010.</w:t>
      </w:r>
    </w:p>
    <w:p w14:paraId="4063470E" w14:textId="77777777" w:rsidR="009F5EAF" w:rsidRPr="000F5598" w:rsidRDefault="009F5EAF" w:rsidP="009F5EAF">
      <w:pPr>
        <w:jc w:val="both"/>
        <w:rPr>
          <w:rFonts w:ascii="Verdana" w:hAnsi="Verdana" w:cs="Arial"/>
          <w:lang w:val="es-CO"/>
        </w:rPr>
      </w:pPr>
    </w:p>
    <w:p w14:paraId="27A9B945" w14:textId="7D3931F8" w:rsidR="3C6233A0" w:rsidRDefault="3C6233A0" w:rsidP="1C96ED7A">
      <w:pPr>
        <w:jc w:val="both"/>
        <w:rPr>
          <w:rFonts w:ascii="Verdana" w:hAnsi="Verdana" w:cs="Arial"/>
          <w:lang w:val="es-CO"/>
        </w:rPr>
      </w:pPr>
      <w:r w:rsidRPr="1C96ED7A">
        <w:rPr>
          <w:rFonts w:ascii="Verdana" w:hAnsi="Verdana" w:cs="Arial"/>
          <w:lang w:val="es-CO"/>
        </w:rPr>
        <w:t>2.1.</w:t>
      </w:r>
      <w:r w:rsidRPr="3D1A461E">
        <w:rPr>
          <w:rFonts w:ascii="Verdana" w:hAnsi="Verdana" w:cs="Arial"/>
          <w:lang w:val="es-CO"/>
        </w:rPr>
        <w:t>A2.6</w:t>
      </w:r>
      <w:r w:rsidRPr="5DC99264">
        <w:rPr>
          <w:rFonts w:ascii="Verdana" w:hAnsi="Verdana" w:cs="Arial"/>
          <w:lang w:val="es-CO"/>
        </w:rPr>
        <w:t>.</w:t>
      </w:r>
    </w:p>
    <w:p w14:paraId="3BA9ADAB" w14:textId="61D3640D" w:rsidR="009F5EAF" w:rsidRPr="000F5598" w:rsidRDefault="009F5EAF" w:rsidP="009F5EAF">
      <w:pPr>
        <w:jc w:val="both"/>
        <w:rPr>
          <w:rFonts w:ascii="Verdana" w:hAnsi="Verdana" w:cs="Arial"/>
          <w:lang w:val="es-CO"/>
        </w:rPr>
      </w:pPr>
      <w:r w:rsidRPr="000F5598">
        <w:rPr>
          <w:rFonts w:ascii="Verdana" w:hAnsi="Verdana" w:cs="Arial"/>
          <w:lang w:val="es-CO"/>
        </w:rPr>
        <w:t>El grado de interconexión refleja la probabilidad de que las dificultades financieras de una institución puedan generar que otra(s) entidad(es) también lo experimente(n), como consecuencia de la red de obligaciones contractuales en las que operan estas instituciones. Este indicador tiene tres dimensiones las cuales ponderan 8.3% cada una: (i) activos dentro del sistema financiero, (ii) pasivos dentro del sistema financiero y (iii) valores en circulación.</w:t>
      </w:r>
    </w:p>
    <w:p w14:paraId="77783AD5" w14:textId="77777777" w:rsidR="009F5EAF" w:rsidRPr="000F5598" w:rsidRDefault="009F5EAF" w:rsidP="009F5EAF">
      <w:pPr>
        <w:jc w:val="both"/>
        <w:rPr>
          <w:rFonts w:ascii="Verdana" w:hAnsi="Verdana" w:cs="Arial"/>
          <w:lang w:val="es-CO"/>
        </w:rPr>
      </w:pPr>
    </w:p>
    <w:p w14:paraId="4081E47E" w14:textId="7BDD8B60" w:rsidR="5DC99264" w:rsidRDefault="405118AF" w:rsidP="5DC99264">
      <w:pPr>
        <w:jc w:val="both"/>
        <w:rPr>
          <w:rFonts w:ascii="Verdana" w:hAnsi="Verdana" w:cs="Arial"/>
          <w:lang w:val="es-CO"/>
        </w:rPr>
      </w:pPr>
      <w:r w:rsidRPr="6D1493E3">
        <w:rPr>
          <w:rFonts w:ascii="Verdana" w:hAnsi="Verdana" w:cs="Arial"/>
          <w:lang w:val="es-CO"/>
        </w:rPr>
        <w:t>2.1.</w:t>
      </w:r>
      <w:r w:rsidRPr="76D2E0DE">
        <w:rPr>
          <w:rFonts w:ascii="Verdana" w:hAnsi="Verdana" w:cs="Arial"/>
          <w:lang w:val="es-CO"/>
        </w:rPr>
        <w:t>A2.</w:t>
      </w:r>
      <w:r w:rsidRPr="4568901E">
        <w:rPr>
          <w:rFonts w:ascii="Verdana" w:hAnsi="Verdana" w:cs="Arial"/>
          <w:lang w:val="es-CO"/>
        </w:rPr>
        <w:t>7.</w:t>
      </w:r>
    </w:p>
    <w:p w14:paraId="5A75E2AE" w14:textId="77777777" w:rsidR="009F5EAF" w:rsidRPr="000F5598" w:rsidRDefault="009F5EAF" w:rsidP="009F5EAF">
      <w:pPr>
        <w:jc w:val="both"/>
        <w:rPr>
          <w:rFonts w:ascii="Verdana" w:hAnsi="Verdana" w:cs="Arial"/>
          <w:lang w:val="es-CO"/>
        </w:rPr>
      </w:pPr>
      <w:r w:rsidRPr="000F5598">
        <w:rPr>
          <w:rFonts w:ascii="Verdana" w:hAnsi="Verdana" w:cs="Arial"/>
          <w:lang w:val="es-CO"/>
        </w:rPr>
        <w:t>La sustituibilidad captura el hecho que, a mayor importancia sistémica de una entidad, bien sea en una determinada línea de negocio o como proveedor de servicios de infraestructura (por ejemplo, sistemas de pagos) mayor alteración o disrupciones en el mercado provocará su quiebra. Ante la ausencia de activos en custodia, el indicador captura dos dimensiones las cuales ponderan 12.5% cada una: (i) la actividad de pagos, y (ii) el volumen de operaciones suscritas en los mercados de deuda y de capital.</w:t>
      </w:r>
    </w:p>
    <w:p w14:paraId="77861D3A" w14:textId="77777777" w:rsidR="009F5EAF" w:rsidRPr="000F5598" w:rsidRDefault="009F5EAF" w:rsidP="009F5EAF">
      <w:pPr>
        <w:jc w:val="both"/>
        <w:rPr>
          <w:rFonts w:ascii="Verdana" w:hAnsi="Verdana" w:cs="Arial"/>
          <w:lang w:val="es-CO"/>
        </w:rPr>
      </w:pPr>
    </w:p>
    <w:p w14:paraId="033424F9" w14:textId="058B3D63" w:rsidR="3CFA1E33" w:rsidRDefault="3CFA1E33" w:rsidP="6F1CEF8D">
      <w:pPr>
        <w:jc w:val="both"/>
        <w:rPr>
          <w:rFonts w:ascii="Verdana" w:hAnsi="Verdana" w:cs="Arial"/>
          <w:lang w:val="es-CO"/>
        </w:rPr>
      </w:pPr>
      <w:r w:rsidRPr="6F1CEF8D">
        <w:rPr>
          <w:rFonts w:ascii="Verdana" w:hAnsi="Verdana" w:cs="Arial"/>
          <w:lang w:val="es-CO"/>
        </w:rPr>
        <w:t>2</w:t>
      </w:r>
      <w:r w:rsidRPr="5B50752E">
        <w:rPr>
          <w:rFonts w:ascii="Verdana" w:hAnsi="Verdana" w:cs="Arial"/>
          <w:lang w:val="es-CO"/>
        </w:rPr>
        <w:t>.1</w:t>
      </w:r>
      <w:r w:rsidRPr="4F9DFEAC">
        <w:rPr>
          <w:rFonts w:ascii="Verdana" w:hAnsi="Verdana" w:cs="Arial"/>
          <w:lang w:val="es-CO"/>
        </w:rPr>
        <w:t>.</w:t>
      </w:r>
      <w:r w:rsidRPr="4D9B85BF">
        <w:rPr>
          <w:rFonts w:ascii="Verdana" w:hAnsi="Verdana" w:cs="Arial"/>
          <w:lang w:val="es-CO"/>
        </w:rPr>
        <w:t>A2</w:t>
      </w:r>
      <w:r w:rsidR="44877688" w:rsidRPr="4D9B85BF">
        <w:rPr>
          <w:rFonts w:ascii="Verdana" w:hAnsi="Verdana" w:cs="Arial"/>
          <w:lang w:val="es-CO"/>
        </w:rPr>
        <w:t>.</w:t>
      </w:r>
      <w:r w:rsidRPr="4D9B85BF">
        <w:rPr>
          <w:rFonts w:ascii="Verdana" w:hAnsi="Verdana" w:cs="Arial"/>
          <w:lang w:val="es-CO"/>
        </w:rPr>
        <w:t>8</w:t>
      </w:r>
      <w:r w:rsidRPr="1C774CA6">
        <w:rPr>
          <w:rFonts w:ascii="Verdana" w:hAnsi="Verdana" w:cs="Arial"/>
          <w:lang w:val="es-CO"/>
        </w:rPr>
        <w:t>.</w:t>
      </w:r>
    </w:p>
    <w:p w14:paraId="6F1C291D" w14:textId="34E30F3E" w:rsidR="009F5EAF" w:rsidRPr="000F5598" w:rsidRDefault="3CFA1E33" w:rsidP="009F5EAF">
      <w:pPr>
        <w:jc w:val="both"/>
        <w:rPr>
          <w:rFonts w:ascii="Verdana" w:hAnsi="Verdana" w:cs="Arial"/>
          <w:lang w:val="es-CO"/>
        </w:rPr>
      </w:pPr>
      <w:r w:rsidRPr="6F1CEF8D">
        <w:rPr>
          <w:rFonts w:ascii="Verdana" w:hAnsi="Verdana" w:cs="Arial"/>
          <w:lang w:val="es-CO"/>
        </w:rPr>
        <w:t>E</w:t>
      </w:r>
      <w:r w:rsidR="009F5EAF" w:rsidRPr="6F1CEF8D">
        <w:rPr>
          <w:rFonts w:ascii="Verdana" w:hAnsi="Verdana" w:cs="Arial"/>
          <w:lang w:val="es-CO"/>
        </w:rPr>
        <w:t>l</w:t>
      </w:r>
      <w:r w:rsidR="009F5EAF" w:rsidRPr="000F5598">
        <w:rPr>
          <w:rFonts w:ascii="Verdana" w:hAnsi="Verdana" w:cs="Arial"/>
          <w:lang w:val="es-CO"/>
        </w:rPr>
        <w:t xml:space="preserve"> criterio de complejidad hace referencia a la dificultad en términos de costo y tiempos para la resolución de una entidad en problemas. Su medición se realiza a partir de tres indicadores, los cuales ponderan 8.3% cada uno: (i) el importe nocional de derivados OTC, (ii) los activos de Nivel 3 y (iii) los valores mantenidos con fines de negociación y disponibles para </w:t>
      </w:r>
      <w:r w:rsidR="00462959">
        <w:rPr>
          <w:rFonts w:ascii="Verdana" w:hAnsi="Verdana" w:cs="Arial"/>
          <w:lang w:val="es-CO"/>
        </w:rPr>
        <w:t>la</w:t>
      </w:r>
      <w:r w:rsidR="009F5EAF" w:rsidRPr="000F5598">
        <w:rPr>
          <w:rFonts w:ascii="Verdana" w:hAnsi="Verdana" w:cs="Arial"/>
          <w:lang w:val="es-CO"/>
        </w:rPr>
        <w:t xml:space="preserve"> venta.</w:t>
      </w:r>
    </w:p>
    <w:p w14:paraId="26621EDE" w14:textId="77777777" w:rsidR="009F5EAF" w:rsidRPr="000F5598" w:rsidRDefault="009F5EAF" w:rsidP="00740BF7">
      <w:pPr>
        <w:jc w:val="both"/>
        <w:rPr>
          <w:rFonts w:ascii="Verdana" w:hAnsi="Verdana" w:cs="Arial"/>
        </w:rPr>
      </w:pPr>
    </w:p>
    <w:p w14:paraId="214E7049" w14:textId="68D97881" w:rsidR="3DEC206C" w:rsidRDefault="4109762D" w:rsidP="3DEC206C">
      <w:pPr>
        <w:jc w:val="both"/>
        <w:rPr>
          <w:rFonts w:ascii="Verdana" w:hAnsi="Verdana" w:cs="Arial"/>
        </w:rPr>
      </w:pPr>
      <w:r w:rsidRPr="02C49DE0">
        <w:rPr>
          <w:rFonts w:ascii="Verdana" w:hAnsi="Verdana" w:cs="Arial"/>
        </w:rPr>
        <w:t>2</w:t>
      </w:r>
      <w:r w:rsidRPr="1A3F48A4">
        <w:rPr>
          <w:rFonts w:ascii="Verdana" w:hAnsi="Verdana" w:cs="Arial"/>
        </w:rPr>
        <w:t>.1</w:t>
      </w:r>
      <w:r w:rsidRPr="021C7461">
        <w:rPr>
          <w:rFonts w:ascii="Verdana" w:hAnsi="Verdana" w:cs="Arial"/>
        </w:rPr>
        <w:t>.A2.9</w:t>
      </w:r>
      <w:r w:rsidRPr="10E80AEA">
        <w:rPr>
          <w:rFonts w:ascii="Verdana" w:hAnsi="Verdana" w:cs="Arial"/>
        </w:rPr>
        <w:t>.</w:t>
      </w:r>
    </w:p>
    <w:p w14:paraId="1D4702B1" w14:textId="27FE6473" w:rsidR="002E658A" w:rsidRPr="000F5598" w:rsidRDefault="002E658A" w:rsidP="002E658A">
      <w:pPr>
        <w:jc w:val="both"/>
        <w:rPr>
          <w:rFonts w:ascii="Verdana" w:hAnsi="Verdana" w:cs="Arial"/>
          <w:lang w:val="es-CO"/>
        </w:rPr>
      </w:pPr>
      <w:r w:rsidRPr="000F5598">
        <w:rPr>
          <w:rFonts w:ascii="Verdana" w:hAnsi="Verdana" w:cs="Arial"/>
          <w:lang w:val="es-CO"/>
        </w:rPr>
        <w:t>Las fuentes de información que utiliza la SFC en</w:t>
      </w:r>
      <w:r w:rsidR="005861F6" w:rsidRPr="000F5598">
        <w:rPr>
          <w:rFonts w:ascii="Verdana" w:hAnsi="Verdana" w:cs="Arial"/>
          <w:lang w:val="es-CO"/>
        </w:rPr>
        <w:t xml:space="preserve"> la</w:t>
      </w:r>
      <w:r w:rsidRPr="000F5598">
        <w:rPr>
          <w:rFonts w:ascii="Verdana" w:hAnsi="Verdana" w:cs="Arial"/>
          <w:lang w:val="es-CO"/>
        </w:rPr>
        <w:t xml:space="preserve"> medición de estas cuatro categorías son detalladas en el cuadro 2 y corresponde</w:t>
      </w:r>
      <w:r w:rsidR="007F1AC9">
        <w:rPr>
          <w:rFonts w:ascii="Verdana" w:hAnsi="Verdana" w:cs="Arial"/>
          <w:lang w:val="es-CO"/>
        </w:rPr>
        <w:t>n</w:t>
      </w:r>
      <w:r w:rsidRPr="000F5598">
        <w:rPr>
          <w:rFonts w:ascii="Verdana" w:hAnsi="Verdana" w:cs="Arial"/>
          <w:lang w:val="es-CO"/>
        </w:rPr>
        <w:t xml:space="preserve"> a la </w:t>
      </w:r>
      <w:r w:rsidR="00614991">
        <w:rPr>
          <w:rFonts w:ascii="Verdana" w:hAnsi="Verdana" w:cs="Arial"/>
          <w:lang w:val="es-CO"/>
        </w:rPr>
        <w:t xml:space="preserve">información </w:t>
      </w:r>
      <w:r w:rsidRPr="000F5598">
        <w:rPr>
          <w:rFonts w:ascii="Verdana" w:hAnsi="Verdana" w:cs="Arial"/>
          <w:lang w:val="es-CO"/>
        </w:rPr>
        <w:t>reportada</w:t>
      </w:r>
      <w:r w:rsidR="005861F6" w:rsidRPr="000F5598">
        <w:rPr>
          <w:rFonts w:ascii="Verdana" w:hAnsi="Verdana" w:cs="Arial"/>
          <w:lang w:val="es-CO"/>
        </w:rPr>
        <w:t xml:space="preserve"> por cada entidad</w:t>
      </w:r>
      <w:r w:rsidR="00614991">
        <w:rPr>
          <w:rFonts w:ascii="Verdana" w:hAnsi="Verdana" w:cs="Arial"/>
          <w:lang w:val="es-CO"/>
        </w:rPr>
        <w:t xml:space="preserve"> y por los proveedores de infraestructura</w:t>
      </w:r>
      <w:r w:rsidR="0037302B">
        <w:rPr>
          <w:rFonts w:ascii="Verdana" w:hAnsi="Verdana" w:cs="Arial"/>
          <w:lang w:val="es-CO"/>
        </w:rPr>
        <w:t>. La SFC podrá actualizar estas fuentes de información en caso de que alguno de los formatos de reporte sea derogado o modificado.</w:t>
      </w:r>
    </w:p>
    <w:p w14:paraId="34906EA5" w14:textId="77777777" w:rsidR="009F5EAF" w:rsidRDefault="009F5EAF" w:rsidP="002E658A">
      <w:pPr>
        <w:jc w:val="both"/>
        <w:rPr>
          <w:rFonts w:ascii="Verdana" w:hAnsi="Verdana" w:cs="Arial"/>
          <w:lang w:val="es-CO"/>
        </w:rPr>
      </w:pPr>
    </w:p>
    <w:p w14:paraId="74C2FC5F" w14:textId="77777777" w:rsidR="00955325" w:rsidRPr="000F5598" w:rsidRDefault="00955325" w:rsidP="002E658A">
      <w:pPr>
        <w:jc w:val="both"/>
        <w:rPr>
          <w:rFonts w:ascii="Verdana" w:hAnsi="Verdana" w:cs="Arial"/>
          <w:lang w:val="es-CO"/>
        </w:rPr>
      </w:pPr>
    </w:p>
    <w:p w14:paraId="23F1752D" w14:textId="77777777" w:rsidR="002E658A" w:rsidRPr="000F5598" w:rsidRDefault="002E658A" w:rsidP="002E658A">
      <w:pPr>
        <w:jc w:val="center"/>
        <w:rPr>
          <w:rFonts w:ascii="Verdana" w:hAnsi="Verdana" w:cs="Arial"/>
          <w:b/>
        </w:rPr>
      </w:pPr>
      <w:r w:rsidRPr="000F5598">
        <w:rPr>
          <w:rFonts w:ascii="Verdana" w:hAnsi="Verdana" w:cs="Arial"/>
          <w:b/>
        </w:rPr>
        <w:t>Cuadro 2: Detalle de indicadores y fuentes de cálculo</w:t>
      </w:r>
    </w:p>
    <w:p w14:paraId="012912E6" w14:textId="77777777" w:rsidR="00DF15DA" w:rsidRPr="000F5598" w:rsidRDefault="00DF15DA" w:rsidP="002E658A">
      <w:pPr>
        <w:pStyle w:val="Sinespaciado"/>
        <w:rPr>
          <w:rFonts w:ascii="Verdana" w:hAnsi="Verdana" w:cs="Arial"/>
          <w:sz w:val="20"/>
          <w:szCs w:val="20"/>
        </w:rPr>
      </w:pPr>
    </w:p>
    <w:tbl>
      <w:tblPr>
        <w:tblW w:w="8855" w:type="dxa"/>
        <w:tblInd w:w="354" w:type="dxa"/>
        <w:tblLayout w:type="fixed"/>
        <w:tblCellMar>
          <w:left w:w="70" w:type="dxa"/>
          <w:right w:w="70" w:type="dxa"/>
        </w:tblCellMar>
        <w:tblLook w:val="04A0" w:firstRow="1" w:lastRow="0" w:firstColumn="1" w:lastColumn="0" w:noHBand="0" w:noVBand="1"/>
      </w:tblPr>
      <w:tblGrid>
        <w:gridCol w:w="2193"/>
        <w:gridCol w:w="3969"/>
        <w:gridCol w:w="1276"/>
        <w:gridCol w:w="1417"/>
      </w:tblGrid>
      <w:tr w:rsidR="00CF5BD4" w:rsidRPr="000F5598" w14:paraId="4B32108E" w14:textId="77777777" w:rsidTr="00AB202A">
        <w:trPr>
          <w:trHeight w:val="300"/>
          <w:tblHeader/>
        </w:trPr>
        <w:tc>
          <w:tcPr>
            <w:tcW w:w="2193" w:type="dxa"/>
            <w:tcBorders>
              <w:top w:val="single" w:sz="4" w:space="0" w:color="595959"/>
              <w:left w:val="single" w:sz="4" w:space="0" w:color="595959"/>
              <w:bottom w:val="single" w:sz="4" w:space="0" w:color="595959"/>
              <w:right w:val="single" w:sz="4" w:space="0" w:color="BFBFBF"/>
            </w:tcBorders>
            <w:shd w:val="clear" w:color="000000" w:fill="0D0D0D"/>
            <w:vAlign w:val="center"/>
            <w:hideMark/>
          </w:tcPr>
          <w:p w14:paraId="1FC6A2FA" w14:textId="77777777" w:rsidR="00DF15DA" w:rsidRPr="000F5598" w:rsidRDefault="00DF15DA" w:rsidP="00DF15DA">
            <w:pPr>
              <w:jc w:val="center"/>
              <w:rPr>
                <w:rFonts w:ascii="Verdana" w:eastAsia="Calibri" w:hAnsi="Verdana" w:cs="Arial"/>
                <w:b/>
                <w:color w:val="FFFFFF"/>
              </w:rPr>
            </w:pPr>
            <w:r w:rsidRPr="000F5598">
              <w:rPr>
                <w:rFonts w:ascii="Verdana" w:eastAsia="Calibri" w:hAnsi="Verdana" w:cs="Arial"/>
                <w:b/>
                <w:color w:val="FFFFFF"/>
              </w:rPr>
              <w:t>Categoría (ponderación)</w:t>
            </w:r>
          </w:p>
        </w:tc>
        <w:tc>
          <w:tcPr>
            <w:tcW w:w="3969" w:type="dxa"/>
            <w:tcBorders>
              <w:top w:val="single" w:sz="4" w:space="0" w:color="595959"/>
              <w:left w:val="nil"/>
              <w:bottom w:val="single" w:sz="4" w:space="0" w:color="595959"/>
              <w:right w:val="single" w:sz="4" w:space="0" w:color="BFBFBF"/>
            </w:tcBorders>
            <w:shd w:val="clear" w:color="000000" w:fill="0D0D0D"/>
            <w:vAlign w:val="center"/>
            <w:hideMark/>
          </w:tcPr>
          <w:p w14:paraId="226704C0" w14:textId="77777777" w:rsidR="00DF15DA" w:rsidRPr="000F5598" w:rsidRDefault="00DF15DA" w:rsidP="00DF15DA">
            <w:pPr>
              <w:jc w:val="center"/>
              <w:rPr>
                <w:rFonts w:ascii="Verdana" w:eastAsia="Calibri" w:hAnsi="Verdana" w:cs="Arial"/>
                <w:b/>
                <w:color w:val="FFFFFF"/>
              </w:rPr>
            </w:pPr>
            <w:r w:rsidRPr="000F5598">
              <w:rPr>
                <w:rFonts w:ascii="Verdana" w:eastAsia="Calibri" w:hAnsi="Verdana" w:cs="Arial"/>
                <w:b/>
                <w:color w:val="FFFFFF"/>
              </w:rPr>
              <w:t>Indicador</w:t>
            </w:r>
          </w:p>
        </w:tc>
        <w:tc>
          <w:tcPr>
            <w:tcW w:w="1276" w:type="dxa"/>
            <w:tcBorders>
              <w:top w:val="single" w:sz="4" w:space="0" w:color="595959"/>
              <w:left w:val="nil"/>
              <w:bottom w:val="single" w:sz="4" w:space="0" w:color="595959"/>
              <w:right w:val="single" w:sz="4" w:space="0" w:color="BFBFBF"/>
            </w:tcBorders>
            <w:shd w:val="clear" w:color="000000" w:fill="0D0D0D"/>
            <w:vAlign w:val="center"/>
            <w:hideMark/>
          </w:tcPr>
          <w:p w14:paraId="652DF401" w14:textId="77777777" w:rsidR="00DF15DA" w:rsidRPr="000F5598" w:rsidRDefault="00DF15DA" w:rsidP="00DF15DA">
            <w:pPr>
              <w:jc w:val="center"/>
              <w:rPr>
                <w:rFonts w:ascii="Verdana" w:eastAsia="Calibri" w:hAnsi="Verdana" w:cs="Arial"/>
                <w:b/>
                <w:color w:val="FFFFFF"/>
              </w:rPr>
            </w:pPr>
            <w:r w:rsidRPr="000F5598">
              <w:rPr>
                <w:rFonts w:ascii="Verdana" w:eastAsia="Calibri" w:hAnsi="Verdana" w:cs="Arial"/>
                <w:b/>
                <w:color w:val="FFFFFF"/>
              </w:rPr>
              <w:t xml:space="preserve">Ponderación </w:t>
            </w:r>
          </w:p>
        </w:tc>
        <w:tc>
          <w:tcPr>
            <w:tcW w:w="1417" w:type="dxa"/>
            <w:tcBorders>
              <w:top w:val="single" w:sz="4" w:space="0" w:color="595959"/>
              <w:left w:val="nil"/>
              <w:bottom w:val="single" w:sz="4" w:space="0" w:color="595959"/>
              <w:right w:val="single" w:sz="4" w:space="0" w:color="595959"/>
            </w:tcBorders>
            <w:shd w:val="clear" w:color="000000" w:fill="0D0D0D"/>
            <w:vAlign w:val="center"/>
            <w:hideMark/>
          </w:tcPr>
          <w:p w14:paraId="2EF6C00A" w14:textId="77777777" w:rsidR="00DF15DA" w:rsidRPr="000F5598" w:rsidRDefault="00DF15DA" w:rsidP="00DF15DA">
            <w:pPr>
              <w:jc w:val="center"/>
              <w:rPr>
                <w:rFonts w:ascii="Verdana" w:eastAsia="Calibri" w:hAnsi="Verdana" w:cs="Arial"/>
                <w:b/>
                <w:color w:val="FFFFFF"/>
              </w:rPr>
            </w:pPr>
            <w:r w:rsidRPr="000F5598">
              <w:rPr>
                <w:rFonts w:ascii="Verdana" w:eastAsia="Calibri" w:hAnsi="Verdana" w:cs="Arial"/>
                <w:b/>
                <w:color w:val="FFFFFF"/>
              </w:rPr>
              <w:t>Fuente</w:t>
            </w:r>
          </w:p>
        </w:tc>
      </w:tr>
      <w:tr w:rsidR="00CF5BD4" w:rsidRPr="000F5598" w14:paraId="272A2C08" w14:textId="77777777" w:rsidTr="00AB202A">
        <w:trPr>
          <w:trHeight w:val="300"/>
        </w:trPr>
        <w:tc>
          <w:tcPr>
            <w:tcW w:w="2193" w:type="dxa"/>
            <w:vMerge w:val="restart"/>
            <w:tcBorders>
              <w:top w:val="nil"/>
              <w:left w:val="single" w:sz="4" w:space="0" w:color="595959"/>
              <w:bottom w:val="single" w:sz="4" w:space="0" w:color="595959"/>
              <w:right w:val="single" w:sz="4" w:space="0" w:color="BFBFBF"/>
            </w:tcBorders>
            <w:vAlign w:val="center"/>
            <w:hideMark/>
          </w:tcPr>
          <w:p w14:paraId="5AB1F804" w14:textId="77777777" w:rsidR="00DF15DA" w:rsidRPr="000F5598" w:rsidRDefault="00DF15DA" w:rsidP="00785871">
            <w:pPr>
              <w:numPr>
                <w:ilvl w:val="0"/>
                <w:numId w:val="15"/>
              </w:numPr>
              <w:rPr>
                <w:rFonts w:ascii="Verdana" w:eastAsia="Calibri" w:hAnsi="Verdana" w:cs="Arial"/>
                <w:b/>
              </w:rPr>
            </w:pPr>
            <w:r w:rsidRPr="000F5598">
              <w:rPr>
                <w:rFonts w:ascii="Verdana" w:eastAsia="Calibri" w:hAnsi="Verdana" w:cs="Arial"/>
                <w:b/>
              </w:rPr>
              <w:t>Tamaño (25%)</w:t>
            </w:r>
          </w:p>
        </w:tc>
        <w:tc>
          <w:tcPr>
            <w:tcW w:w="3969" w:type="dxa"/>
            <w:vMerge w:val="restart"/>
            <w:tcBorders>
              <w:top w:val="nil"/>
              <w:left w:val="single" w:sz="4" w:space="0" w:color="BFBFBF"/>
              <w:bottom w:val="single" w:sz="4" w:space="0" w:color="595959"/>
              <w:right w:val="single" w:sz="4" w:space="0" w:color="BFBFBF"/>
            </w:tcBorders>
            <w:vAlign w:val="center"/>
            <w:hideMark/>
          </w:tcPr>
          <w:p w14:paraId="7884A8E3"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1.1 </w:t>
            </w:r>
            <w:r w:rsidR="00DF15DA" w:rsidRPr="000F5598">
              <w:rPr>
                <w:rFonts w:ascii="Verdana" w:eastAsia="Calibri" w:hAnsi="Verdana" w:cs="Arial"/>
                <w:b/>
              </w:rPr>
              <w:t>Exposición total calculada como el valor de apalancamiento al que se refiere el artículo 2.1.1.3.6 del Decreto 2555 de 2010</w:t>
            </w:r>
          </w:p>
        </w:tc>
        <w:tc>
          <w:tcPr>
            <w:tcW w:w="1276" w:type="dxa"/>
            <w:vMerge w:val="restart"/>
            <w:tcBorders>
              <w:top w:val="nil"/>
              <w:left w:val="single" w:sz="4" w:space="0" w:color="BFBFBF"/>
              <w:bottom w:val="single" w:sz="4" w:space="0" w:color="595959"/>
              <w:right w:val="single" w:sz="4" w:space="0" w:color="BFBFBF"/>
            </w:tcBorders>
            <w:vAlign w:val="center"/>
            <w:hideMark/>
          </w:tcPr>
          <w:p w14:paraId="144FFAD6" w14:textId="77777777" w:rsidR="00DF15DA" w:rsidRPr="000F5598" w:rsidRDefault="00DF15DA" w:rsidP="00DF15DA">
            <w:pPr>
              <w:jc w:val="center"/>
              <w:rPr>
                <w:rFonts w:ascii="Verdana" w:eastAsia="Calibri" w:hAnsi="Verdana" w:cs="Arial"/>
              </w:rPr>
            </w:pPr>
            <w:r w:rsidRPr="000F5598">
              <w:rPr>
                <w:rFonts w:ascii="Verdana" w:eastAsia="Calibri" w:hAnsi="Verdana" w:cs="Arial"/>
              </w:rPr>
              <w:t>25%</w:t>
            </w:r>
          </w:p>
        </w:tc>
        <w:tc>
          <w:tcPr>
            <w:tcW w:w="1417" w:type="dxa"/>
            <w:vMerge w:val="restart"/>
            <w:tcBorders>
              <w:top w:val="nil"/>
              <w:left w:val="single" w:sz="4" w:space="0" w:color="BFBFBF"/>
              <w:bottom w:val="single" w:sz="4" w:space="0" w:color="595959"/>
              <w:right w:val="single" w:sz="4" w:space="0" w:color="595959"/>
            </w:tcBorders>
            <w:vAlign w:val="center"/>
            <w:hideMark/>
          </w:tcPr>
          <w:p w14:paraId="11C5FE44" w14:textId="7CA542D0" w:rsidR="00DF15DA" w:rsidRDefault="00DF15DA" w:rsidP="00DF15DA">
            <w:pPr>
              <w:jc w:val="center"/>
              <w:rPr>
                <w:rFonts w:ascii="Verdana" w:eastAsia="Calibri" w:hAnsi="Verdana" w:cs="Arial"/>
              </w:rPr>
            </w:pPr>
            <w:r w:rsidRPr="000F5598">
              <w:rPr>
                <w:rFonts w:ascii="Verdana" w:eastAsia="Calibri" w:hAnsi="Verdana" w:cs="Arial"/>
              </w:rPr>
              <w:t>Formato</w:t>
            </w:r>
            <w:r w:rsidR="00093D4B" w:rsidRPr="000F5598">
              <w:rPr>
                <w:rFonts w:ascii="Verdana" w:eastAsia="Calibri" w:hAnsi="Verdana" w:cs="Arial"/>
              </w:rPr>
              <w:t xml:space="preserve"> </w:t>
            </w:r>
            <w:r w:rsidRPr="000F5598">
              <w:rPr>
                <w:rFonts w:ascii="Verdana" w:eastAsia="Calibri" w:hAnsi="Verdana" w:cs="Arial"/>
              </w:rPr>
              <w:t>239</w:t>
            </w:r>
          </w:p>
          <w:p w14:paraId="5B56ACA5" w14:textId="44C1E1BD" w:rsidR="00276F26" w:rsidRPr="000F5598" w:rsidRDefault="00276F26" w:rsidP="00DF15DA">
            <w:pPr>
              <w:jc w:val="center"/>
              <w:rPr>
                <w:rFonts w:ascii="Verdana" w:eastAsia="Calibri" w:hAnsi="Verdana" w:cs="Arial"/>
              </w:rPr>
            </w:pPr>
          </w:p>
        </w:tc>
      </w:tr>
      <w:tr w:rsidR="00CF5BD4" w:rsidRPr="000F5598" w14:paraId="236BF8E4" w14:textId="77777777" w:rsidTr="00AB202A">
        <w:trPr>
          <w:trHeight w:val="300"/>
        </w:trPr>
        <w:tc>
          <w:tcPr>
            <w:tcW w:w="2193" w:type="dxa"/>
            <w:vMerge/>
            <w:tcBorders>
              <w:top w:val="nil"/>
              <w:left w:val="single" w:sz="4" w:space="0" w:color="595959"/>
              <w:bottom w:val="single" w:sz="4" w:space="0" w:color="595959"/>
              <w:right w:val="single" w:sz="4" w:space="0" w:color="BFBFBF"/>
            </w:tcBorders>
            <w:vAlign w:val="center"/>
            <w:hideMark/>
          </w:tcPr>
          <w:p w14:paraId="17E7EC93" w14:textId="77777777" w:rsidR="00DF15DA" w:rsidRPr="000F5598" w:rsidRDefault="00DF15DA" w:rsidP="00AB202A">
            <w:pPr>
              <w:rPr>
                <w:rFonts w:ascii="Verdana" w:eastAsia="Calibri" w:hAnsi="Verdana" w:cs="Arial"/>
                <w:b/>
              </w:rPr>
            </w:pPr>
          </w:p>
        </w:tc>
        <w:tc>
          <w:tcPr>
            <w:tcW w:w="3969" w:type="dxa"/>
            <w:vMerge/>
            <w:tcBorders>
              <w:top w:val="nil"/>
              <w:left w:val="single" w:sz="4" w:space="0" w:color="BFBFBF"/>
              <w:bottom w:val="single" w:sz="4" w:space="0" w:color="595959"/>
              <w:right w:val="single" w:sz="4" w:space="0" w:color="BFBFBF"/>
            </w:tcBorders>
            <w:vAlign w:val="center"/>
            <w:hideMark/>
          </w:tcPr>
          <w:p w14:paraId="376B89B0" w14:textId="77777777" w:rsidR="00DF15DA" w:rsidRPr="000F5598" w:rsidRDefault="00DF15DA" w:rsidP="00030618">
            <w:pPr>
              <w:rPr>
                <w:rFonts w:ascii="Verdana" w:eastAsia="Calibri" w:hAnsi="Verdana" w:cs="Arial"/>
              </w:rPr>
            </w:pPr>
          </w:p>
        </w:tc>
        <w:tc>
          <w:tcPr>
            <w:tcW w:w="1276" w:type="dxa"/>
            <w:vMerge/>
            <w:tcBorders>
              <w:top w:val="nil"/>
              <w:left w:val="single" w:sz="4" w:space="0" w:color="BFBFBF"/>
              <w:bottom w:val="single" w:sz="4" w:space="0" w:color="595959"/>
              <w:right w:val="single" w:sz="4" w:space="0" w:color="BFBFBF"/>
            </w:tcBorders>
            <w:vAlign w:val="center"/>
            <w:hideMark/>
          </w:tcPr>
          <w:p w14:paraId="338DE6F3" w14:textId="77777777" w:rsidR="00DF15DA" w:rsidRPr="000F5598" w:rsidRDefault="00DF15DA" w:rsidP="00DF15DA">
            <w:pPr>
              <w:jc w:val="center"/>
              <w:rPr>
                <w:rFonts w:ascii="Verdana" w:eastAsia="Calibri" w:hAnsi="Verdana" w:cs="Arial"/>
              </w:rPr>
            </w:pPr>
          </w:p>
        </w:tc>
        <w:tc>
          <w:tcPr>
            <w:tcW w:w="1417" w:type="dxa"/>
            <w:vMerge/>
            <w:tcBorders>
              <w:top w:val="nil"/>
              <w:left w:val="single" w:sz="4" w:space="0" w:color="BFBFBF"/>
              <w:bottom w:val="single" w:sz="4" w:space="0" w:color="595959"/>
              <w:right w:val="single" w:sz="4" w:space="0" w:color="595959"/>
            </w:tcBorders>
            <w:vAlign w:val="center"/>
            <w:hideMark/>
          </w:tcPr>
          <w:p w14:paraId="65E1D317" w14:textId="77777777" w:rsidR="00DF15DA" w:rsidRPr="000F5598" w:rsidRDefault="00DF15DA" w:rsidP="00DF15DA">
            <w:pPr>
              <w:jc w:val="center"/>
              <w:rPr>
                <w:rFonts w:ascii="Verdana" w:eastAsia="Calibri" w:hAnsi="Verdana" w:cs="Arial"/>
              </w:rPr>
            </w:pPr>
          </w:p>
        </w:tc>
      </w:tr>
      <w:tr w:rsidR="00CF5BD4" w:rsidRPr="000F5598" w14:paraId="6D6417DF" w14:textId="77777777" w:rsidTr="00AB202A">
        <w:trPr>
          <w:trHeight w:val="300"/>
        </w:trPr>
        <w:tc>
          <w:tcPr>
            <w:tcW w:w="2193" w:type="dxa"/>
            <w:vMerge/>
            <w:tcBorders>
              <w:top w:val="nil"/>
              <w:left w:val="single" w:sz="4" w:space="0" w:color="595959"/>
              <w:bottom w:val="single" w:sz="4" w:space="0" w:color="595959"/>
              <w:right w:val="single" w:sz="4" w:space="0" w:color="BFBFBF"/>
            </w:tcBorders>
            <w:vAlign w:val="center"/>
            <w:hideMark/>
          </w:tcPr>
          <w:p w14:paraId="00380D03" w14:textId="77777777" w:rsidR="00DF15DA" w:rsidRPr="000F5598" w:rsidRDefault="00DF15DA" w:rsidP="00AB202A">
            <w:pPr>
              <w:rPr>
                <w:rFonts w:ascii="Verdana" w:eastAsia="Calibri" w:hAnsi="Verdana" w:cs="Arial"/>
                <w:b/>
              </w:rPr>
            </w:pPr>
          </w:p>
        </w:tc>
        <w:tc>
          <w:tcPr>
            <w:tcW w:w="3969" w:type="dxa"/>
            <w:vMerge/>
            <w:tcBorders>
              <w:top w:val="nil"/>
              <w:left w:val="single" w:sz="4" w:space="0" w:color="BFBFBF"/>
              <w:bottom w:val="single" w:sz="4" w:space="0" w:color="595959"/>
              <w:right w:val="single" w:sz="4" w:space="0" w:color="BFBFBF"/>
            </w:tcBorders>
            <w:vAlign w:val="center"/>
            <w:hideMark/>
          </w:tcPr>
          <w:p w14:paraId="0157D8D4" w14:textId="77777777" w:rsidR="00DF15DA" w:rsidRPr="000F5598" w:rsidRDefault="00DF15DA" w:rsidP="00030618">
            <w:pPr>
              <w:rPr>
                <w:rFonts w:ascii="Verdana" w:eastAsia="Calibri" w:hAnsi="Verdana" w:cs="Arial"/>
              </w:rPr>
            </w:pPr>
          </w:p>
        </w:tc>
        <w:tc>
          <w:tcPr>
            <w:tcW w:w="1276" w:type="dxa"/>
            <w:vMerge/>
            <w:tcBorders>
              <w:top w:val="nil"/>
              <w:left w:val="single" w:sz="4" w:space="0" w:color="BFBFBF"/>
              <w:bottom w:val="single" w:sz="4" w:space="0" w:color="595959"/>
              <w:right w:val="single" w:sz="4" w:space="0" w:color="BFBFBF"/>
            </w:tcBorders>
            <w:vAlign w:val="center"/>
            <w:hideMark/>
          </w:tcPr>
          <w:p w14:paraId="2225DAFE" w14:textId="77777777" w:rsidR="00DF15DA" w:rsidRPr="000F5598" w:rsidRDefault="00DF15DA" w:rsidP="00DF15DA">
            <w:pPr>
              <w:jc w:val="center"/>
              <w:rPr>
                <w:rFonts w:ascii="Verdana" w:eastAsia="Calibri" w:hAnsi="Verdana" w:cs="Arial"/>
              </w:rPr>
            </w:pPr>
          </w:p>
        </w:tc>
        <w:tc>
          <w:tcPr>
            <w:tcW w:w="1417" w:type="dxa"/>
            <w:vMerge/>
            <w:tcBorders>
              <w:top w:val="nil"/>
              <w:left w:val="single" w:sz="4" w:space="0" w:color="BFBFBF"/>
              <w:bottom w:val="single" w:sz="4" w:space="0" w:color="595959"/>
              <w:right w:val="single" w:sz="4" w:space="0" w:color="595959"/>
            </w:tcBorders>
            <w:vAlign w:val="center"/>
            <w:hideMark/>
          </w:tcPr>
          <w:p w14:paraId="214EF6F0" w14:textId="77777777" w:rsidR="00DF15DA" w:rsidRPr="000F5598" w:rsidRDefault="00DF15DA" w:rsidP="00DF15DA">
            <w:pPr>
              <w:jc w:val="center"/>
              <w:rPr>
                <w:rFonts w:ascii="Verdana" w:eastAsia="Calibri" w:hAnsi="Verdana" w:cs="Arial"/>
              </w:rPr>
            </w:pPr>
          </w:p>
        </w:tc>
      </w:tr>
      <w:tr w:rsidR="00CF5BD4" w:rsidRPr="000F5598" w14:paraId="598AAFF4" w14:textId="77777777" w:rsidTr="00AB202A">
        <w:trPr>
          <w:trHeight w:val="300"/>
        </w:trPr>
        <w:tc>
          <w:tcPr>
            <w:tcW w:w="2193" w:type="dxa"/>
            <w:vMerge w:val="restart"/>
            <w:tcBorders>
              <w:top w:val="nil"/>
              <w:left w:val="single" w:sz="4" w:space="0" w:color="595959"/>
              <w:bottom w:val="single" w:sz="4" w:space="0" w:color="BFBFBF"/>
              <w:right w:val="single" w:sz="4" w:space="0" w:color="BFBFBF"/>
            </w:tcBorders>
            <w:vAlign w:val="center"/>
            <w:hideMark/>
          </w:tcPr>
          <w:p w14:paraId="33F4B92D" w14:textId="03D3E3BA" w:rsidR="00DF15DA" w:rsidRPr="000F5598" w:rsidRDefault="00DF15DA" w:rsidP="00785871">
            <w:pPr>
              <w:numPr>
                <w:ilvl w:val="0"/>
                <w:numId w:val="15"/>
              </w:numPr>
              <w:tabs>
                <w:tab w:val="left" w:pos="423"/>
              </w:tabs>
              <w:rPr>
                <w:rFonts w:ascii="Verdana" w:eastAsia="Calibri" w:hAnsi="Verdana" w:cs="Arial"/>
                <w:b/>
              </w:rPr>
            </w:pPr>
            <w:r w:rsidRPr="000F5598">
              <w:rPr>
                <w:rFonts w:ascii="Verdana" w:eastAsia="Calibri" w:hAnsi="Verdana" w:cs="Arial"/>
                <w:b/>
              </w:rPr>
              <w:t>Interconexió</w:t>
            </w:r>
            <w:r w:rsidR="00955325">
              <w:rPr>
                <w:rFonts w:ascii="Verdana" w:eastAsia="Calibri" w:hAnsi="Verdana" w:cs="Arial"/>
                <w:b/>
              </w:rPr>
              <w:t xml:space="preserve">n </w:t>
            </w:r>
            <w:r w:rsidRPr="000F5598">
              <w:rPr>
                <w:rFonts w:ascii="Verdana" w:eastAsia="Calibri" w:hAnsi="Verdana" w:cs="Arial"/>
                <w:b/>
              </w:rPr>
              <w:t>(25%)</w:t>
            </w:r>
          </w:p>
        </w:tc>
        <w:tc>
          <w:tcPr>
            <w:tcW w:w="6662" w:type="dxa"/>
            <w:gridSpan w:val="3"/>
            <w:tcBorders>
              <w:top w:val="single" w:sz="4" w:space="0" w:color="595959"/>
              <w:left w:val="nil"/>
              <w:bottom w:val="single" w:sz="4" w:space="0" w:color="BFBFBF"/>
              <w:right w:val="single" w:sz="4" w:space="0" w:color="595959"/>
            </w:tcBorders>
            <w:vAlign w:val="center"/>
            <w:hideMark/>
          </w:tcPr>
          <w:p w14:paraId="4E70D43B"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2.1 </w:t>
            </w:r>
            <w:r w:rsidR="00DF15DA" w:rsidRPr="000F5598">
              <w:rPr>
                <w:rFonts w:ascii="Verdana" w:eastAsia="Calibri" w:hAnsi="Verdana" w:cs="Arial"/>
                <w:b/>
              </w:rPr>
              <w:t>Activos dentro del sistema financiero</w:t>
            </w:r>
          </w:p>
        </w:tc>
      </w:tr>
      <w:tr w:rsidR="00CF5BD4" w:rsidRPr="000F5598" w14:paraId="071CA075" w14:textId="77777777" w:rsidTr="00AB202A">
        <w:trPr>
          <w:trHeight w:val="510"/>
        </w:trPr>
        <w:tc>
          <w:tcPr>
            <w:tcW w:w="2193" w:type="dxa"/>
            <w:vMerge/>
            <w:tcBorders>
              <w:top w:val="nil"/>
              <w:left w:val="single" w:sz="4" w:space="0" w:color="595959"/>
              <w:bottom w:val="single" w:sz="4" w:space="0" w:color="BFBFBF"/>
              <w:right w:val="single" w:sz="4" w:space="0" w:color="BFBFBF"/>
            </w:tcBorders>
            <w:vAlign w:val="center"/>
            <w:hideMark/>
          </w:tcPr>
          <w:p w14:paraId="388CF949"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1344309A" w14:textId="77777777" w:rsidR="00DF15DA" w:rsidRPr="000F5598" w:rsidRDefault="00030618" w:rsidP="00030618">
            <w:pPr>
              <w:rPr>
                <w:rFonts w:ascii="Verdana" w:eastAsia="Calibri" w:hAnsi="Verdana" w:cs="Arial"/>
              </w:rPr>
            </w:pPr>
            <w:r w:rsidRPr="000F5598">
              <w:rPr>
                <w:rFonts w:ascii="Verdana" w:eastAsia="Calibri" w:hAnsi="Verdana" w:cs="Arial"/>
              </w:rPr>
              <w:t xml:space="preserve">2.1.1 </w:t>
            </w:r>
            <w:r w:rsidR="00DF15DA" w:rsidRPr="000F5598">
              <w:rPr>
                <w:rFonts w:ascii="Verdana" w:eastAsia="Calibri" w:hAnsi="Verdana" w:cs="Arial"/>
              </w:rPr>
              <w:t>Posiciones activas en el mercado monetario con entidades financieras</w:t>
            </w:r>
          </w:p>
        </w:tc>
        <w:tc>
          <w:tcPr>
            <w:tcW w:w="1276" w:type="dxa"/>
            <w:vMerge w:val="restart"/>
            <w:tcBorders>
              <w:top w:val="nil"/>
              <w:left w:val="single" w:sz="4" w:space="0" w:color="BFBFBF"/>
              <w:bottom w:val="single" w:sz="4" w:space="0" w:color="BFBFBF"/>
              <w:right w:val="single" w:sz="4" w:space="0" w:color="BFBFBF"/>
            </w:tcBorders>
            <w:vAlign w:val="center"/>
            <w:hideMark/>
          </w:tcPr>
          <w:p w14:paraId="3A093792"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single" w:sz="4" w:space="0" w:color="BFBFBF"/>
              <w:right w:val="single" w:sz="4" w:space="0" w:color="595959"/>
            </w:tcBorders>
            <w:vAlign w:val="center"/>
            <w:hideMark/>
          </w:tcPr>
          <w:p w14:paraId="0EA5BBA7"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396 y 397</w:t>
            </w:r>
          </w:p>
        </w:tc>
      </w:tr>
      <w:tr w:rsidR="00CF5BD4" w:rsidRPr="000F5598" w14:paraId="7B31D100" w14:textId="77777777" w:rsidTr="00AB202A">
        <w:trPr>
          <w:trHeight w:val="300"/>
        </w:trPr>
        <w:tc>
          <w:tcPr>
            <w:tcW w:w="2193" w:type="dxa"/>
            <w:vMerge/>
            <w:tcBorders>
              <w:top w:val="nil"/>
              <w:left w:val="single" w:sz="4" w:space="0" w:color="595959"/>
              <w:bottom w:val="single" w:sz="4" w:space="0" w:color="BFBFBF"/>
              <w:right w:val="single" w:sz="4" w:space="0" w:color="BFBFBF"/>
            </w:tcBorders>
            <w:vAlign w:val="center"/>
            <w:hideMark/>
          </w:tcPr>
          <w:p w14:paraId="7044511D"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07E8B09D" w14:textId="77777777" w:rsidR="00DF15DA" w:rsidRPr="000F5598" w:rsidRDefault="00030618" w:rsidP="00030618">
            <w:pPr>
              <w:rPr>
                <w:rFonts w:ascii="Verdana" w:eastAsia="Calibri" w:hAnsi="Verdana" w:cs="Arial"/>
              </w:rPr>
            </w:pPr>
            <w:r w:rsidRPr="000F5598">
              <w:rPr>
                <w:rFonts w:ascii="Verdana" w:eastAsia="Calibri" w:hAnsi="Verdana" w:cs="Arial"/>
              </w:rPr>
              <w:t>2.1.2</w:t>
            </w:r>
            <w:r w:rsidR="00DF15DA" w:rsidRPr="000F5598">
              <w:rPr>
                <w:rFonts w:ascii="Verdana" w:eastAsia="Calibri" w:hAnsi="Verdana" w:cs="Arial"/>
              </w:rPr>
              <w:t xml:space="preserve"> Cartera otorgada a entidades financieras</w:t>
            </w:r>
          </w:p>
        </w:tc>
        <w:tc>
          <w:tcPr>
            <w:tcW w:w="1276" w:type="dxa"/>
            <w:vMerge/>
            <w:tcBorders>
              <w:top w:val="nil"/>
              <w:left w:val="single" w:sz="4" w:space="0" w:color="BFBFBF"/>
              <w:bottom w:val="single" w:sz="4" w:space="0" w:color="BFBFBF"/>
              <w:right w:val="single" w:sz="4" w:space="0" w:color="BFBFBF"/>
            </w:tcBorders>
            <w:vAlign w:val="center"/>
            <w:hideMark/>
          </w:tcPr>
          <w:p w14:paraId="04CC19E1" w14:textId="77777777" w:rsidR="00DF15DA" w:rsidRPr="000F5598" w:rsidRDefault="00DF15DA" w:rsidP="00DF15DA">
            <w:pPr>
              <w:jc w:val="center"/>
              <w:rPr>
                <w:rFonts w:ascii="Verdana" w:eastAsia="Calibri" w:hAnsi="Verdana" w:cs="Arial"/>
              </w:rPr>
            </w:pPr>
          </w:p>
        </w:tc>
        <w:tc>
          <w:tcPr>
            <w:tcW w:w="1417" w:type="dxa"/>
            <w:tcBorders>
              <w:top w:val="nil"/>
              <w:left w:val="nil"/>
              <w:bottom w:val="single" w:sz="4" w:space="0" w:color="BFBFBF"/>
              <w:right w:val="single" w:sz="4" w:space="0" w:color="595959"/>
            </w:tcBorders>
            <w:vAlign w:val="center"/>
            <w:hideMark/>
          </w:tcPr>
          <w:p w14:paraId="250991F9"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341</w:t>
            </w:r>
          </w:p>
        </w:tc>
      </w:tr>
      <w:tr w:rsidR="00CF5BD4" w:rsidRPr="000F5598" w14:paraId="6B4EC2A0" w14:textId="77777777" w:rsidTr="00AB202A">
        <w:trPr>
          <w:trHeight w:val="300"/>
        </w:trPr>
        <w:tc>
          <w:tcPr>
            <w:tcW w:w="2193" w:type="dxa"/>
            <w:vMerge/>
            <w:tcBorders>
              <w:top w:val="nil"/>
              <w:left w:val="single" w:sz="4" w:space="0" w:color="595959"/>
              <w:bottom w:val="single" w:sz="4" w:space="0" w:color="BFBFBF"/>
              <w:right w:val="single" w:sz="4" w:space="0" w:color="BFBFBF"/>
            </w:tcBorders>
            <w:vAlign w:val="center"/>
            <w:hideMark/>
          </w:tcPr>
          <w:p w14:paraId="412BDB25"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4A82F4E1" w14:textId="77777777" w:rsidR="00DF15DA" w:rsidRPr="000F5598" w:rsidRDefault="00030618" w:rsidP="00030618">
            <w:pPr>
              <w:rPr>
                <w:rFonts w:ascii="Verdana" w:eastAsia="Calibri" w:hAnsi="Verdana" w:cs="Arial"/>
              </w:rPr>
            </w:pPr>
            <w:r w:rsidRPr="000F5598">
              <w:rPr>
                <w:rFonts w:ascii="Verdana" w:eastAsia="Calibri" w:hAnsi="Verdana" w:cs="Arial"/>
              </w:rPr>
              <w:t xml:space="preserve">2.1.2.3 </w:t>
            </w:r>
            <w:r w:rsidR="00DF15DA" w:rsidRPr="000F5598">
              <w:rPr>
                <w:rFonts w:ascii="Verdana" w:eastAsia="Calibri" w:hAnsi="Verdana" w:cs="Arial"/>
              </w:rPr>
              <w:t>Títulos emitidos por otras entidades financieras</w:t>
            </w:r>
          </w:p>
        </w:tc>
        <w:tc>
          <w:tcPr>
            <w:tcW w:w="1276" w:type="dxa"/>
            <w:vMerge/>
            <w:tcBorders>
              <w:top w:val="nil"/>
              <w:left w:val="single" w:sz="4" w:space="0" w:color="BFBFBF"/>
              <w:bottom w:val="single" w:sz="4" w:space="0" w:color="BFBFBF"/>
              <w:right w:val="single" w:sz="4" w:space="0" w:color="BFBFBF"/>
            </w:tcBorders>
            <w:vAlign w:val="center"/>
            <w:hideMark/>
          </w:tcPr>
          <w:p w14:paraId="1CF93ECC" w14:textId="77777777" w:rsidR="00DF15DA" w:rsidRPr="000F5598" w:rsidRDefault="00DF15DA" w:rsidP="00DF15DA">
            <w:pPr>
              <w:jc w:val="center"/>
              <w:rPr>
                <w:rFonts w:ascii="Verdana" w:eastAsia="Calibri" w:hAnsi="Verdana" w:cs="Arial"/>
              </w:rPr>
            </w:pPr>
          </w:p>
        </w:tc>
        <w:tc>
          <w:tcPr>
            <w:tcW w:w="1417" w:type="dxa"/>
            <w:tcBorders>
              <w:top w:val="nil"/>
              <w:left w:val="nil"/>
              <w:bottom w:val="single" w:sz="4" w:space="0" w:color="BFBFBF"/>
              <w:right w:val="single" w:sz="4" w:space="0" w:color="595959"/>
            </w:tcBorders>
            <w:vAlign w:val="center"/>
            <w:hideMark/>
          </w:tcPr>
          <w:p w14:paraId="20EAD088"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351</w:t>
            </w:r>
          </w:p>
        </w:tc>
      </w:tr>
      <w:tr w:rsidR="00CF5BD4" w:rsidRPr="000F5598" w14:paraId="33BEA45E" w14:textId="77777777" w:rsidTr="00AB202A">
        <w:trPr>
          <w:trHeight w:val="765"/>
        </w:trPr>
        <w:tc>
          <w:tcPr>
            <w:tcW w:w="2193" w:type="dxa"/>
            <w:vMerge/>
            <w:tcBorders>
              <w:top w:val="nil"/>
              <w:left w:val="single" w:sz="4" w:space="0" w:color="595959"/>
              <w:bottom w:val="single" w:sz="4" w:space="0" w:color="BFBFBF"/>
              <w:right w:val="single" w:sz="4" w:space="0" w:color="BFBFBF"/>
            </w:tcBorders>
            <w:vAlign w:val="center"/>
            <w:hideMark/>
          </w:tcPr>
          <w:p w14:paraId="478D706E"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181F12FD" w14:textId="37ACEC55" w:rsidR="00DF15DA" w:rsidRPr="000F5598" w:rsidRDefault="00030618" w:rsidP="00030618">
            <w:pPr>
              <w:rPr>
                <w:rFonts w:ascii="Verdana" w:eastAsia="Calibri" w:hAnsi="Verdana" w:cs="Arial"/>
              </w:rPr>
            </w:pPr>
            <w:r w:rsidRPr="000F5598">
              <w:rPr>
                <w:rFonts w:ascii="Verdana" w:eastAsia="Calibri" w:hAnsi="Verdana" w:cs="Arial"/>
              </w:rPr>
              <w:t>2.1.2.4</w:t>
            </w:r>
            <w:r w:rsidR="00DF15DA" w:rsidRPr="000F5598">
              <w:rPr>
                <w:rFonts w:ascii="Verdana" w:eastAsia="Calibri" w:hAnsi="Verdana" w:cs="Arial"/>
              </w:rPr>
              <w:t xml:space="preserve"> Derivados activos OTC </w:t>
            </w:r>
            <w:proofErr w:type="spellStart"/>
            <w:r w:rsidR="00DF15DA" w:rsidRPr="000F5598">
              <w:rPr>
                <w:rFonts w:ascii="Verdana" w:eastAsia="Calibri" w:hAnsi="Verdana" w:cs="Arial"/>
                <w:i/>
              </w:rPr>
              <w:t>mark</w:t>
            </w:r>
            <w:proofErr w:type="spellEnd"/>
            <w:r w:rsidR="00DF15DA" w:rsidRPr="000F5598">
              <w:rPr>
                <w:rFonts w:ascii="Verdana" w:eastAsia="Calibri" w:hAnsi="Verdana" w:cs="Arial"/>
                <w:i/>
              </w:rPr>
              <w:t xml:space="preserve"> </w:t>
            </w:r>
            <w:proofErr w:type="spellStart"/>
            <w:r w:rsidR="00DF15DA" w:rsidRPr="000F5598">
              <w:rPr>
                <w:rFonts w:ascii="Verdana" w:eastAsia="Calibri" w:hAnsi="Verdana" w:cs="Arial"/>
                <w:i/>
              </w:rPr>
              <w:t>to</w:t>
            </w:r>
            <w:proofErr w:type="spellEnd"/>
            <w:r w:rsidR="00DF15DA" w:rsidRPr="000F5598">
              <w:rPr>
                <w:rFonts w:ascii="Verdana" w:eastAsia="Calibri" w:hAnsi="Verdana" w:cs="Arial"/>
                <w:i/>
              </w:rPr>
              <w:t xml:space="preserve"> </w:t>
            </w:r>
            <w:proofErr w:type="spellStart"/>
            <w:r w:rsidR="00DF15DA" w:rsidRPr="000F5598">
              <w:rPr>
                <w:rFonts w:ascii="Verdana" w:eastAsia="Calibri" w:hAnsi="Verdana" w:cs="Arial"/>
                <w:i/>
              </w:rPr>
              <w:t>market</w:t>
            </w:r>
            <w:proofErr w:type="spellEnd"/>
            <w:r w:rsidR="00DF15DA" w:rsidRPr="000F5598">
              <w:rPr>
                <w:rFonts w:ascii="Verdana" w:eastAsia="Calibri" w:hAnsi="Verdana" w:cs="Arial"/>
              </w:rPr>
              <w:t xml:space="preserve"> con contrapartes </w:t>
            </w:r>
            <w:r w:rsidR="00CE2BFC">
              <w:rPr>
                <w:rFonts w:ascii="Verdana" w:eastAsia="Calibri" w:hAnsi="Verdana" w:cs="Arial"/>
              </w:rPr>
              <w:t>f</w:t>
            </w:r>
            <w:r w:rsidR="00DF15DA" w:rsidRPr="000F5598">
              <w:rPr>
                <w:rFonts w:ascii="Verdana" w:eastAsia="Calibri" w:hAnsi="Verdana" w:cs="Arial"/>
              </w:rPr>
              <w:t>inancieras</w:t>
            </w:r>
          </w:p>
        </w:tc>
        <w:tc>
          <w:tcPr>
            <w:tcW w:w="1276" w:type="dxa"/>
            <w:vMerge/>
            <w:tcBorders>
              <w:top w:val="nil"/>
              <w:left w:val="single" w:sz="4" w:space="0" w:color="BFBFBF"/>
              <w:bottom w:val="single" w:sz="4" w:space="0" w:color="BFBFBF"/>
              <w:right w:val="single" w:sz="4" w:space="0" w:color="BFBFBF"/>
            </w:tcBorders>
            <w:vAlign w:val="center"/>
            <w:hideMark/>
          </w:tcPr>
          <w:p w14:paraId="7B284461" w14:textId="77777777" w:rsidR="00DF15DA" w:rsidRPr="000F5598" w:rsidRDefault="00DF15DA" w:rsidP="00DF15DA">
            <w:pPr>
              <w:jc w:val="center"/>
              <w:rPr>
                <w:rFonts w:ascii="Verdana" w:eastAsia="Calibri" w:hAnsi="Verdana" w:cs="Arial"/>
                <w:b/>
              </w:rPr>
            </w:pPr>
          </w:p>
        </w:tc>
        <w:tc>
          <w:tcPr>
            <w:tcW w:w="1417" w:type="dxa"/>
            <w:tcBorders>
              <w:top w:val="nil"/>
              <w:left w:val="nil"/>
              <w:bottom w:val="single" w:sz="4" w:space="0" w:color="BFBFBF"/>
              <w:right w:val="single" w:sz="4" w:space="0" w:color="595959"/>
            </w:tcBorders>
            <w:vAlign w:val="center"/>
            <w:hideMark/>
          </w:tcPr>
          <w:p w14:paraId="52D44096" w14:textId="3CA668D0" w:rsidR="00DF15DA" w:rsidRPr="00276F26" w:rsidRDefault="00DF15DA" w:rsidP="00DF15DA">
            <w:pPr>
              <w:jc w:val="center"/>
              <w:rPr>
                <w:rFonts w:ascii="Verdana" w:eastAsia="Calibri" w:hAnsi="Verdana" w:cs="Arial"/>
                <w:bCs/>
              </w:rPr>
            </w:pPr>
            <w:r w:rsidRPr="00276F26">
              <w:rPr>
                <w:rFonts w:ascii="Verdana" w:eastAsia="Calibri" w:hAnsi="Verdana" w:cs="Arial"/>
                <w:bCs/>
              </w:rPr>
              <w:t xml:space="preserve">Formato </w:t>
            </w:r>
            <w:r w:rsidR="00D80771">
              <w:rPr>
                <w:rFonts w:ascii="Verdana" w:eastAsia="Calibri" w:hAnsi="Verdana" w:cs="Arial"/>
                <w:bCs/>
              </w:rPr>
              <w:t>415</w:t>
            </w:r>
          </w:p>
        </w:tc>
      </w:tr>
      <w:tr w:rsidR="00CF5BD4" w:rsidRPr="000F5598" w14:paraId="3CA294A7" w14:textId="77777777" w:rsidTr="00AB202A">
        <w:trPr>
          <w:trHeight w:val="300"/>
        </w:trPr>
        <w:tc>
          <w:tcPr>
            <w:tcW w:w="2193" w:type="dxa"/>
            <w:vMerge/>
            <w:tcBorders>
              <w:top w:val="nil"/>
              <w:left w:val="single" w:sz="4" w:space="0" w:color="595959"/>
              <w:bottom w:val="single" w:sz="4" w:space="0" w:color="BFBFBF"/>
              <w:right w:val="single" w:sz="4" w:space="0" w:color="BFBFBF"/>
            </w:tcBorders>
            <w:vAlign w:val="center"/>
            <w:hideMark/>
          </w:tcPr>
          <w:p w14:paraId="33B476E0" w14:textId="77777777" w:rsidR="00DF15DA" w:rsidRPr="000F5598" w:rsidRDefault="00DF15DA" w:rsidP="00DF15DA">
            <w:pPr>
              <w:jc w:val="center"/>
              <w:rPr>
                <w:rFonts w:ascii="Verdana" w:eastAsia="Calibri" w:hAnsi="Verdana" w:cs="Arial"/>
                <w:b/>
              </w:rPr>
            </w:pPr>
          </w:p>
        </w:tc>
        <w:tc>
          <w:tcPr>
            <w:tcW w:w="6662" w:type="dxa"/>
            <w:gridSpan w:val="3"/>
            <w:tcBorders>
              <w:top w:val="single" w:sz="4" w:space="0" w:color="BFBFBF"/>
              <w:left w:val="nil"/>
              <w:bottom w:val="single" w:sz="4" w:space="0" w:color="BFBFBF"/>
              <w:right w:val="single" w:sz="4" w:space="0" w:color="595959"/>
            </w:tcBorders>
            <w:vAlign w:val="center"/>
            <w:hideMark/>
          </w:tcPr>
          <w:p w14:paraId="7E05ECAF" w14:textId="77777777" w:rsidR="00955325" w:rsidRDefault="00955325" w:rsidP="00030618">
            <w:pPr>
              <w:rPr>
                <w:rFonts w:ascii="Verdana" w:eastAsia="Calibri" w:hAnsi="Verdana" w:cs="Arial"/>
                <w:b/>
              </w:rPr>
            </w:pPr>
          </w:p>
          <w:p w14:paraId="2D414937" w14:textId="33667E3E" w:rsidR="00DF15DA" w:rsidRPr="000F5598" w:rsidRDefault="00030618" w:rsidP="00030618">
            <w:pPr>
              <w:rPr>
                <w:rFonts w:ascii="Verdana" w:eastAsia="Calibri" w:hAnsi="Verdana" w:cs="Arial"/>
                <w:b/>
              </w:rPr>
            </w:pPr>
            <w:r w:rsidRPr="000F5598">
              <w:rPr>
                <w:rFonts w:ascii="Verdana" w:eastAsia="Calibri" w:hAnsi="Verdana" w:cs="Arial"/>
                <w:b/>
              </w:rPr>
              <w:t xml:space="preserve">2.2 </w:t>
            </w:r>
            <w:r w:rsidR="00DF15DA" w:rsidRPr="000F5598">
              <w:rPr>
                <w:rFonts w:ascii="Verdana" w:eastAsia="Calibri" w:hAnsi="Verdana" w:cs="Arial"/>
                <w:b/>
              </w:rPr>
              <w:t>Pasivos dentro del sistema financiero</w:t>
            </w:r>
          </w:p>
        </w:tc>
      </w:tr>
      <w:tr w:rsidR="00CF5BD4" w:rsidRPr="000F5598" w14:paraId="0042DE9F" w14:textId="77777777" w:rsidTr="00AB202A">
        <w:trPr>
          <w:trHeight w:val="510"/>
        </w:trPr>
        <w:tc>
          <w:tcPr>
            <w:tcW w:w="2193" w:type="dxa"/>
            <w:vMerge/>
            <w:tcBorders>
              <w:top w:val="nil"/>
              <w:left w:val="single" w:sz="4" w:space="0" w:color="595959"/>
              <w:bottom w:val="single" w:sz="4" w:space="0" w:color="BFBFBF"/>
              <w:right w:val="single" w:sz="4" w:space="0" w:color="BFBFBF"/>
            </w:tcBorders>
            <w:vAlign w:val="center"/>
            <w:hideMark/>
          </w:tcPr>
          <w:p w14:paraId="442DA40F"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25FBA1AD" w14:textId="77777777" w:rsidR="00DF15DA" w:rsidRPr="000F5598" w:rsidRDefault="00030618" w:rsidP="00030618">
            <w:pPr>
              <w:rPr>
                <w:rFonts w:ascii="Verdana" w:eastAsia="Calibri" w:hAnsi="Verdana" w:cs="Arial"/>
              </w:rPr>
            </w:pPr>
            <w:r w:rsidRPr="000F5598">
              <w:rPr>
                <w:rFonts w:ascii="Verdana" w:eastAsia="Calibri" w:hAnsi="Verdana" w:cs="Arial"/>
              </w:rPr>
              <w:t>2.2.1</w:t>
            </w:r>
            <w:r w:rsidR="00DF15DA" w:rsidRPr="000F5598">
              <w:rPr>
                <w:rFonts w:ascii="Verdana" w:eastAsia="Calibri" w:hAnsi="Verdana" w:cs="Arial"/>
              </w:rPr>
              <w:t xml:space="preserve"> Posiciones pasivas en el mercado monetario con entidades financieras</w:t>
            </w:r>
          </w:p>
        </w:tc>
        <w:tc>
          <w:tcPr>
            <w:tcW w:w="1276" w:type="dxa"/>
            <w:vMerge w:val="restart"/>
            <w:tcBorders>
              <w:top w:val="nil"/>
              <w:left w:val="single" w:sz="4" w:space="0" w:color="BFBFBF"/>
              <w:bottom w:val="single" w:sz="4" w:space="0" w:color="BFBFBF"/>
              <w:right w:val="single" w:sz="4" w:space="0" w:color="BFBFBF"/>
            </w:tcBorders>
            <w:vAlign w:val="center"/>
            <w:hideMark/>
          </w:tcPr>
          <w:p w14:paraId="4176359A"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single" w:sz="4" w:space="0" w:color="BFBFBF"/>
              <w:right w:val="single" w:sz="4" w:space="0" w:color="595959"/>
            </w:tcBorders>
            <w:vAlign w:val="center"/>
            <w:hideMark/>
          </w:tcPr>
          <w:p w14:paraId="6EF320EC"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396 y 397</w:t>
            </w:r>
          </w:p>
        </w:tc>
      </w:tr>
      <w:tr w:rsidR="00CF5BD4" w:rsidRPr="000F5598" w14:paraId="5B744FAD" w14:textId="77777777" w:rsidTr="00AB202A">
        <w:trPr>
          <w:trHeight w:val="510"/>
        </w:trPr>
        <w:tc>
          <w:tcPr>
            <w:tcW w:w="2193" w:type="dxa"/>
            <w:vMerge/>
            <w:tcBorders>
              <w:top w:val="nil"/>
              <w:left w:val="single" w:sz="4" w:space="0" w:color="595959"/>
              <w:bottom w:val="single" w:sz="4" w:space="0" w:color="BFBFBF"/>
              <w:right w:val="single" w:sz="4" w:space="0" w:color="BFBFBF"/>
            </w:tcBorders>
            <w:vAlign w:val="center"/>
            <w:hideMark/>
          </w:tcPr>
          <w:p w14:paraId="206327FF"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170217E4" w14:textId="77777777" w:rsidR="00DF15DA" w:rsidRPr="000F5598" w:rsidRDefault="00030618" w:rsidP="00030618">
            <w:pPr>
              <w:rPr>
                <w:rFonts w:ascii="Verdana" w:eastAsia="Calibri" w:hAnsi="Verdana" w:cs="Arial"/>
              </w:rPr>
            </w:pPr>
            <w:r w:rsidRPr="000F5598">
              <w:rPr>
                <w:rFonts w:ascii="Verdana" w:eastAsia="Calibri" w:hAnsi="Verdana" w:cs="Arial"/>
              </w:rPr>
              <w:t>2.2.2</w:t>
            </w:r>
            <w:r w:rsidR="00DF15DA" w:rsidRPr="000F5598">
              <w:rPr>
                <w:rFonts w:ascii="Verdana" w:eastAsia="Calibri" w:hAnsi="Verdana" w:cs="Arial"/>
              </w:rPr>
              <w:t xml:space="preserve"> Depósitos y cartera de entidades financieras</w:t>
            </w:r>
          </w:p>
        </w:tc>
        <w:tc>
          <w:tcPr>
            <w:tcW w:w="1276" w:type="dxa"/>
            <w:vMerge/>
            <w:tcBorders>
              <w:top w:val="nil"/>
              <w:left w:val="single" w:sz="4" w:space="0" w:color="BFBFBF"/>
              <w:bottom w:val="single" w:sz="4" w:space="0" w:color="BFBFBF"/>
              <w:right w:val="single" w:sz="4" w:space="0" w:color="BFBFBF"/>
            </w:tcBorders>
            <w:vAlign w:val="center"/>
            <w:hideMark/>
          </w:tcPr>
          <w:p w14:paraId="465B34CF" w14:textId="77777777" w:rsidR="00DF15DA" w:rsidRPr="000F5598" w:rsidRDefault="00DF15DA" w:rsidP="00DF15DA">
            <w:pPr>
              <w:jc w:val="center"/>
              <w:rPr>
                <w:rFonts w:ascii="Verdana" w:eastAsia="Calibri" w:hAnsi="Verdana" w:cs="Arial"/>
              </w:rPr>
            </w:pPr>
          </w:p>
        </w:tc>
        <w:tc>
          <w:tcPr>
            <w:tcW w:w="1417" w:type="dxa"/>
            <w:tcBorders>
              <w:top w:val="nil"/>
              <w:left w:val="nil"/>
              <w:bottom w:val="single" w:sz="4" w:space="0" w:color="BFBFBF"/>
              <w:right w:val="single" w:sz="4" w:space="0" w:color="595959"/>
            </w:tcBorders>
            <w:vAlign w:val="center"/>
            <w:hideMark/>
          </w:tcPr>
          <w:p w14:paraId="3405BEC5"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459 y 341</w:t>
            </w:r>
          </w:p>
        </w:tc>
      </w:tr>
      <w:tr w:rsidR="00CF5BD4" w:rsidRPr="000F5598" w14:paraId="536E6B6B" w14:textId="77777777" w:rsidTr="00AB202A">
        <w:trPr>
          <w:trHeight w:val="510"/>
        </w:trPr>
        <w:tc>
          <w:tcPr>
            <w:tcW w:w="2193" w:type="dxa"/>
            <w:vMerge/>
            <w:tcBorders>
              <w:top w:val="nil"/>
              <w:left w:val="single" w:sz="4" w:space="0" w:color="595959"/>
              <w:bottom w:val="single" w:sz="4" w:space="0" w:color="BFBFBF"/>
              <w:right w:val="single" w:sz="4" w:space="0" w:color="BFBFBF"/>
            </w:tcBorders>
            <w:vAlign w:val="center"/>
            <w:hideMark/>
          </w:tcPr>
          <w:p w14:paraId="18217DF6"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57E9FF3D" w14:textId="77777777" w:rsidR="00DF15DA" w:rsidRPr="000F5598" w:rsidRDefault="00030618" w:rsidP="00030618">
            <w:pPr>
              <w:rPr>
                <w:rFonts w:ascii="Verdana" w:eastAsia="Calibri" w:hAnsi="Verdana" w:cs="Arial"/>
              </w:rPr>
            </w:pPr>
            <w:r w:rsidRPr="000F5598">
              <w:rPr>
                <w:rFonts w:ascii="Verdana" w:eastAsia="Calibri" w:hAnsi="Verdana" w:cs="Arial"/>
              </w:rPr>
              <w:t>2.2.3</w:t>
            </w:r>
            <w:r w:rsidR="00DF15DA" w:rsidRPr="000F5598">
              <w:rPr>
                <w:rFonts w:ascii="Verdana" w:eastAsia="Calibri" w:hAnsi="Verdana" w:cs="Arial"/>
              </w:rPr>
              <w:t xml:space="preserve"> Bonos emitidos por el banco que tenga otra entidad</w:t>
            </w:r>
          </w:p>
        </w:tc>
        <w:tc>
          <w:tcPr>
            <w:tcW w:w="1276" w:type="dxa"/>
            <w:vMerge/>
            <w:tcBorders>
              <w:top w:val="nil"/>
              <w:left w:val="single" w:sz="4" w:space="0" w:color="BFBFBF"/>
              <w:bottom w:val="single" w:sz="4" w:space="0" w:color="BFBFBF"/>
              <w:right w:val="single" w:sz="4" w:space="0" w:color="BFBFBF"/>
            </w:tcBorders>
            <w:vAlign w:val="center"/>
            <w:hideMark/>
          </w:tcPr>
          <w:p w14:paraId="46F19BD4" w14:textId="77777777" w:rsidR="00DF15DA" w:rsidRPr="000F5598" w:rsidRDefault="00DF15DA" w:rsidP="00DF15DA">
            <w:pPr>
              <w:jc w:val="center"/>
              <w:rPr>
                <w:rFonts w:ascii="Verdana" w:eastAsia="Calibri" w:hAnsi="Verdana" w:cs="Arial"/>
              </w:rPr>
            </w:pPr>
          </w:p>
        </w:tc>
        <w:tc>
          <w:tcPr>
            <w:tcW w:w="1417" w:type="dxa"/>
            <w:tcBorders>
              <w:top w:val="nil"/>
              <w:left w:val="nil"/>
              <w:bottom w:val="single" w:sz="4" w:space="0" w:color="BFBFBF"/>
              <w:right w:val="single" w:sz="4" w:space="0" w:color="595959"/>
            </w:tcBorders>
            <w:vAlign w:val="center"/>
            <w:hideMark/>
          </w:tcPr>
          <w:p w14:paraId="3DF3F799" w14:textId="0D6C269C" w:rsidR="00DF15DA" w:rsidRPr="000F5598" w:rsidRDefault="00DF15DA" w:rsidP="00DF15DA">
            <w:pPr>
              <w:jc w:val="center"/>
              <w:rPr>
                <w:rFonts w:ascii="Verdana" w:eastAsia="Calibri" w:hAnsi="Verdana" w:cs="Arial"/>
              </w:rPr>
            </w:pPr>
            <w:r w:rsidRPr="000F5598">
              <w:rPr>
                <w:rFonts w:ascii="Verdana" w:eastAsia="Calibri" w:hAnsi="Verdana" w:cs="Arial"/>
              </w:rPr>
              <w:t>Formato 351</w:t>
            </w:r>
          </w:p>
        </w:tc>
      </w:tr>
      <w:tr w:rsidR="00CF5BD4" w:rsidRPr="000F5598" w14:paraId="0137C6B7" w14:textId="77777777" w:rsidTr="00AB202A">
        <w:trPr>
          <w:trHeight w:val="765"/>
        </w:trPr>
        <w:tc>
          <w:tcPr>
            <w:tcW w:w="2193" w:type="dxa"/>
            <w:vMerge/>
            <w:tcBorders>
              <w:top w:val="nil"/>
              <w:left w:val="single" w:sz="4" w:space="0" w:color="595959"/>
              <w:bottom w:val="single" w:sz="4" w:space="0" w:color="BFBFBF"/>
              <w:right w:val="single" w:sz="4" w:space="0" w:color="BFBFBF"/>
            </w:tcBorders>
            <w:vAlign w:val="center"/>
            <w:hideMark/>
          </w:tcPr>
          <w:p w14:paraId="4E1BC29C"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BFBFBF"/>
              <w:right w:val="single" w:sz="4" w:space="0" w:color="BFBFBF"/>
            </w:tcBorders>
            <w:vAlign w:val="center"/>
            <w:hideMark/>
          </w:tcPr>
          <w:p w14:paraId="1A05B33D" w14:textId="77777777" w:rsidR="00DF15DA" w:rsidRPr="000F5598" w:rsidRDefault="00030618" w:rsidP="00030618">
            <w:pPr>
              <w:rPr>
                <w:rFonts w:ascii="Verdana" w:eastAsia="Calibri" w:hAnsi="Verdana" w:cs="Arial"/>
              </w:rPr>
            </w:pPr>
            <w:r w:rsidRPr="000F5598">
              <w:rPr>
                <w:rFonts w:ascii="Verdana" w:eastAsia="Calibri" w:hAnsi="Verdana" w:cs="Arial"/>
              </w:rPr>
              <w:t>2.2.4</w:t>
            </w:r>
            <w:r w:rsidR="00DF15DA" w:rsidRPr="000F5598">
              <w:rPr>
                <w:rFonts w:ascii="Verdana" w:eastAsia="Calibri" w:hAnsi="Verdana" w:cs="Arial"/>
              </w:rPr>
              <w:t xml:space="preserve"> Derivados pasivos OTC </w:t>
            </w:r>
            <w:proofErr w:type="spellStart"/>
            <w:r w:rsidR="00DF15DA" w:rsidRPr="000F5598">
              <w:rPr>
                <w:rFonts w:ascii="Verdana" w:eastAsia="Calibri" w:hAnsi="Verdana" w:cs="Arial"/>
                <w:i/>
              </w:rPr>
              <w:t>mark</w:t>
            </w:r>
            <w:proofErr w:type="spellEnd"/>
            <w:r w:rsidR="00DF15DA" w:rsidRPr="000F5598">
              <w:rPr>
                <w:rFonts w:ascii="Verdana" w:eastAsia="Calibri" w:hAnsi="Verdana" w:cs="Arial"/>
                <w:i/>
              </w:rPr>
              <w:t xml:space="preserve"> </w:t>
            </w:r>
            <w:proofErr w:type="spellStart"/>
            <w:r w:rsidR="00DF15DA" w:rsidRPr="000F5598">
              <w:rPr>
                <w:rFonts w:ascii="Verdana" w:eastAsia="Calibri" w:hAnsi="Verdana" w:cs="Arial"/>
                <w:i/>
              </w:rPr>
              <w:t>to</w:t>
            </w:r>
            <w:proofErr w:type="spellEnd"/>
            <w:r w:rsidR="00DF15DA" w:rsidRPr="000F5598">
              <w:rPr>
                <w:rFonts w:ascii="Verdana" w:eastAsia="Calibri" w:hAnsi="Verdana" w:cs="Arial"/>
                <w:i/>
              </w:rPr>
              <w:t xml:space="preserve"> </w:t>
            </w:r>
            <w:proofErr w:type="spellStart"/>
            <w:r w:rsidR="00DF15DA" w:rsidRPr="000F5598">
              <w:rPr>
                <w:rFonts w:ascii="Verdana" w:eastAsia="Calibri" w:hAnsi="Verdana" w:cs="Arial"/>
                <w:i/>
              </w:rPr>
              <w:t>market</w:t>
            </w:r>
            <w:proofErr w:type="spellEnd"/>
            <w:r w:rsidR="00DF15DA" w:rsidRPr="000F5598">
              <w:rPr>
                <w:rFonts w:ascii="Verdana" w:eastAsia="Calibri" w:hAnsi="Verdana" w:cs="Arial"/>
              </w:rPr>
              <w:t xml:space="preserve"> con contrapartes financieras</w:t>
            </w:r>
          </w:p>
        </w:tc>
        <w:tc>
          <w:tcPr>
            <w:tcW w:w="1276" w:type="dxa"/>
            <w:vMerge/>
            <w:tcBorders>
              <w:top w:val="nil"/>
              <w:left w:val="single" w:sz="4" w:space="0" w:color="BFBFBF"/>
              <w:bottom w:val="single" w:sz="4" w:space="0" w:color="BFBFBF"/>
              <w:right w:val="single" w:sz="4" w:space="0" w:color="BFBFBF"/>
            </w:tcBorders>
            <w:vAlign w:val="center"/>
            <w:hideMark/>
          </w:tcPr>
          <w:p w14:paraId="67B9F975" w14:textId="77777777" w:rsidR="00DF15DA" w:rsidRPr="000F5598" w:rsidRDefault="00DF15DA" w:rsidP="00DF15DA">
            <w:pPr>
              <w:jc w:val="center"/>
              <w:rPr>
                <w:rFonts w:ascii="Verdana" w:eastAsia="Calibri" w:hAnsi="Verdana" w:cs="Arial"/>
              </w:rPr>
            </w:pPr>
          </w:p>
        </w:tc>
        <w:tc>
          <w:tcPr>
            <w:tcW w:w="1417" w:type="dxa"/>
            <w:tcBorders>
              <w:top w:val="nil"/>
              <w:left w:val="nil"/>
              <w:bottom w:val="single" w:sz="4" w:space="0" w:color="BFBFBF"/>
              <w:right w:val="single" w:sz="4" w:space="0" w:color="595959"/>
            </w:tcBorders>
            <w:vAlign w:val="center"/>
            <w:hideMark/>
          </w:tcPr>
          <w:p w14:paraId="64A3F696" w14:textId="4FF276D5" w:rsidR="00DF15DA" w:rsidRPr="000F5598" w:rsidRDefault="00DF15DA" w:rsidP="00DF15DA">
            <w:pPr>
              <w:jc w:val="center"/>
              <w:rPr>
                <w:rFonts w:ascii="Verdana" w:eastAsia="Calibri" w:hAnsi="Verdana" w:cs="Arial"/>
              </w:rPr>
            </w:pPr>
            <w:r w:rsidRPr="000F5598">
              <w:rPr>
                <w:rFonts w:ascii="Verdana" w:eastAsia="Calibri" w:hAnsi="Verdana" w:cs="Arial"/>
              </w:rPr>
              <w:t xml:space="preserve">Formato </w:t>
            </w:r>
            <w:r w:rsidR="0048743A">
              <w:rPr>
                <w:rFonts w:ascii="Verdana" w:eastAsia="Calibri" w:hAnsi="Verdana" w:cs="Arial"/>
              </w:rPr>
              <w:t>415</w:t>
            </w:r>
          </w:p>
        </w:tc>
      </w:tr>
      <w:tr w:rsidR="00CF5BD4" w:rsidRPr="000F5598" w14:paraId="58BA61E0" w14:textId="77777777" w:rsidTr="00AB202A">
        <w:trPr>
          <w:trHeight w:val="300"/>
        </w:trPr>
        <w:tc>
          <w:tcPr>
            <w:tcW w:w="2193" w:type="dxa"/>
            <w:vMerge/>
            <w:tcBorders>
              <w:top w:val="nil"/>
              <w:left w:val="single" w:sz="4" w:space="0" w:color="595959"/>
              <w:bottom w:val="single" w:sz="4" w:space="0" w:color="BFBFBF"/>
              <w:right w:val="single" w:sz="4" w:space="0" w:color="BFBFBF"/>
            </w:tcBorders>
            <w:vAlign w:val="center"/>
            <w:hideMark/>
          </w:tcPr>
          <w:p w14:paraId="53CF1560" w14:textId="77777777" w:rsidR="00DF15DA" w:rsidRPr="000F5598" w:rsidRDefault="00DF15DA" w:rsidP="00DF15DA">
            <w:pPr>
              <w:jc w:val="center"/>
              <w:rPr>
                <w:rFonts w:ascii="Verdana" w:eastAsia="Calibri" w:hAnsi="Verdana" w:cs="Arial"/>
                <w:b/>
              </w:rPr>
            </w:pPr>
          </w:p>
        </w:tc>
        <w:tc>
          <w:tcPr>
            <w:tcW w:w="6662" w:type="dxa"/>
            <w:gridSpan w:val="3"/>
            <w:tcBorders>
              <w:top w:val="single" w:sz="4" w:space="0" w:color="BFBFBF"/>
              <w:left w:val="nil"/>
              <w:bottom w:val="single" w:sz="4" w:space="0" w:color="BFBFBF"/>
              <w:right w:val="single" w:sz="4" w:space="0" w:color="595959"/>
            </w:tcBorders>
            <w:vAlign w:val="center"/>
            <w:hideMark/>
          </w:tcPr>
          <w:p w14:paraId="4A73D4E0" w14:textId="3B5858E2" w:rsidR="00DF15DA" w:rsidRPr="000F5598" w:rsidRDefault="00030618" w:rsidP="00030618">
            <w:pPr>
              <w:rPr>
                <w:rFonts w:ascii="Verdana" w:eastAsia="Calibri" w:hAnsi="Verdana" w:cs="Arial"/>
                <w:b/>
              </w:rPr>
            </w:pPr>
            <w:r w:rsidRPr="000F5598">
              <w:rPr>
                <w:rFonts w:ascii="Verdana" w:eastAsia="Calibri" w:hAnsi="Verdana" w:cs="Arial"/>
                <w:b/>
              </w:rPr>
              <w:t xml:space="preserve">2.3 </w:t>
            </w:r>
            <w:r w:rsidR="00DF15DA" w:rsidRPr="000F5598">
              <w:rPr>
                <w:rFonts w:ascii="Verdana" w:eastAsia="Calibri" w:hAnsi="Verdana" w:cs="Arial"/>
                <w:b/>
              </w:rPr>
              <w:t>Títulos en circulación</w:t>
            </w:r>
            <w:r w:rsidR="00401180">
              <w:rPr>
                <w:rFonts w:ascii="Verdana" w:eastAsia="Calibri" w:hAnsi="Verdana" w:cs="Arial"/>
                <w:b/>
              </w:rPr>
              <w:t xml:space="preserve"> </w:t>
            </w:r>
            <w:r w:rsidR="005638EF">
              <w:rPr>
                <w:rFonts w:ascii="Verdana" w:eastAsia="Calibri" w:hAnsi="Verdana" w:cs="Arial"/>
                <w:b/>
              </w:rPr>
              <w:t>dentro del sistema financiero</w:t>
            </w:r>
          </w:p>
        </w:tc>
      </w:tr>
      <w:tr w:rsidR="00CF5BD4" w:rsidRPr="000F5598" w14:paraId="24A1D7B8" w14:textId="77777777" w:rsidTr="00AB202A">
        <w:trPr>
          <w:trHeight w:val="510"/>
        </w:trPr>
        <w:tc>
          <w:tcPr>
            <w:tcW w:w="2193" w:type="dxa"/>
            <w:vMerge/>
            <w:tcBorders>
              <w:top w:val="nil"/>
              <w:left w:val="single" w:sz="4" w:space="0" w:color="595959"/>
              <w:bottom w:val="single" w:sz="4" w:space="0" w:color="BFBFBF"/>
              <w:right w:val="single" w:sz="4" w:space="0" w:color="BFBFBF"/>
            </w:tcBorders>
            <w:vAlign w:val="center"/>
            <w:hideMark/>
          </w:tcPr>
          <w:p w14:paraId="0149B9AD" w14:textId="77777777" w:rsidR="00DF15DA" w:rsidRPr="000F5598" w:rsidRDefault="00DF15DA" w:rsidP="00DF15DA">
            <w:pPr>
              <w:jc w:val="center"/>
              <w:rPr>
                <w:rFonts w:ascii="Verdana" w:eastAsia="Calibri" w:hAnsi="Verdana" w:cs="Arial"/>
                <w:b/>
              </w:rPr>
            </w:pPr>
          </w:p>
        </w:tc>
        <w:tc>
          <w:tcPr>
            <w:tcW w:w="3969" w:type="dxa"/>
            <w:tcBorders>
              <w:top w:val="nil"/>
              <w:left w:val="nil"/>
              <w:bottom w:val="nil"/>
              <w:right w:val="single" w:sz="4" w:space="0" w:color="BFBFBF"/>
            </w:tcBorders>
            <w:vAlign w:val="center"/>
            <w:hideMark/>
          </w:tcPr>
          <w:p w14:paraId="0464D986" w14:textId="77777777" w:rsidR="00DF15DA" w:rsidRPr="000F5598" w:rsidRDefault="00030618" w:rsidP="00030618">
            <w:pPr>
              <w:rPr>
                <w:rFonts w:ascii="Verdana" w:eastAsia="Calibri" w:hAnsi="Verdana" w:cs="Arial"/>
              </w:rPr>
            </w:pPr>
            <w:r w:rsidRPr="000F5598">
              <w:rPr>
                <w:rFonts w:ascii="Verdana" w:eastAsia="Calibri" w:hAnsi="Verdana" w:cs="Arial"/>
              </w:rPr>
              <w:t>2.3.1</w:t>
            </w:r>
            <w:r w:rsidR="00DF15DA" w:rsidRPr="000F5598">
              <w:rPr>
                <w:rFonts w:ascii="Verdana" w:eastAsia="Calibri" w:hAnsi="Verdana" w:cs="Arial"/>
              </w:rPr>
              <w:t xml:space="preserve"> Bonos, </w:t>
            </w:r>
            <w:proofErr w:type="spellStart"/>
            <w:r w:rsidR="00DF15DA" w:rsidRPr="000F5598">
              <w:rPr>
                <w:rFonts w:ascii="Verdana" w:eastAsia="Calibri" w:hAnsi="Verdana" w:cs="Arial"/>
              </w:rPr>
              <w:t>CDTs</w:t>
            </w:r>
            <w:proofErr w:type="spellEnd"/>
            <w:r w:rsidR="00DF15DA" w:rsidRPr="000F5598">
              <w:rPr>
                <w:rFonts w:ascii="Verdana" w:eastAsia="Calibri" w:hAnsi="Verdana" w:cs="Arial"/>
              </w:rPr>
              <w:t xml:space="preserve"> y acciones</w:t>
            </w:r>
          </w:p>
        </w:tc>
        <w:tc>
          <w:tcPr>
            <w:tcW w:w="1276" w:type="dxa"/>
            <w:tcBorders>
              <w:top w:val="nil"/>
              <w:left w:val="nil"/>
              <w:bottom w:val="nil"/>
              <w:right w:val="single" w:sz="4" w:space="0" w:color="BFBFBF"/>
            </w:tcBorders>
            <w:vAlign w:val="center"/>
            <w:hideMark/>
          </w:tcPr>
          <w:p w14:paraId="2BF99B96"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nil"/>
              <w:right w:val="single" w:sz="4" w:space="0" w:color="595959"/>
            </w:tcBorders>
            <w:vAlign w:val="center"/>
            <w:hideMark/>
          </w:tcPr>
          <w:p w14:paraId="21D2876B" w14:textId="1AF9112E" w:rsidR="00DF15DA" w:rsidRPr="000F5598" w:rsidRDefault="00DF15DA" w:rsidP="00DF15DA">
            <w:pPr>
              <w:jc w:val="center"/>
              <w:rPr>
                <w:rFonts w:ascii="Verdana" w:eastAsia="Calibri" w:hAnsi="Verdana" w:cs="Arial"/>
              </w:rPr>
            </w:pPr>
            <w:r w:rsidRPr="000F5598">
              <w:rPr>
                <w:rFonts w:ascii="Verdana" w:eastAsia="Calibri" w:hAnsi="Verdana" w:cs="Arial"/>
              </w:rPr>
              <w:t xml:space="preserve"> Formato 351</w:t>
            </w:r>
          </w:p>
        </w:tc>
      </w:tr>
      <w:tr w:rsidR="00CF5BD4" w:rsidRPr="000F5598" w14:paraId="2F702E67" w14:textId="77777777" w:rsidTr="00AB202A">
        <w:trPr>
          <w:trHeight w:val="300"/>
        </w:trPr>
        <w:tc>
          <w:tcPr>
            <w:tcW w:w="2193" w:type="dxa"/>
            <w:vMerge w:val="restart"/>
            <w:tcBorders>
              <w:top w:val="single" w:sz="4" w:space="0" w:color="595959"/>
              <w:left w:val="single" w:sz="4" w:space="0" w:color="595959"/>
              <w:bottom w:val="single" w:sz="4" w:space="0" w:color="595959"/>
              <w:right w:val="single" w:sz="4" w:space="0" w:color="BFBFBF"/>
            </w:tcBorders>
            <w:vAlign w:val="center"/>
            <w:hideMark/>
          </w:tcPr>
          <w:p w14:paraId="6FDD86BE" w14:textId="77777777" w:rsidR="00DF15DA" w:rsidRPr="000F5598" w:rsidRDefault="00DF15DA" w:rsidP="00957418">
            <w:pPr>
              <w:numPr>
                <w:ilvl w:val="0"/>
                <w:numId w:val="15"/>
              </w:numPr>
              <w:tabs>
                <w:tab w:val="left" w:pos="423"/>
              </w:tabs>
              <w:rPr>
                <w:rFonts w:ascii="Verdana" w:eastAsia="Calibri" w:hAnsi="Verdana" w:cs="Arial"/>
                <w:b/>
              </w:rPr>
            </w:pPr>
            <w:r w:rsidRPr="000F5598">
              <w:rPr>
                <w:rFonts w:ascii="Verdana" w:eastAsia="Calibri" w:hAnsi="Verdana" w:cs="Arial"/>
                <w:b/>
              </w:rPr>
              <w:t>Sustituibilidad (25%)</w:t>
            </w:r>
          </w:p>
        </w:tc>
        <w:tc>
          <w:tcPr>
            <w:tcW w:w="3969" w:type="dxa"/>
            <w:vMerge w:val="restart"/>
            <w:tcBorders>
              <w:top w:val="single" w:sz="4" w:space="0" w:color="595959"/>
              <w:left w:val="single" w:sz="4" w:space="0" w:color="BFBFBF"/>
              <w:bottom w:val="single" w:sz="4" w:space="0" w:color="BFBFBF"/>
              <w:right w:val="single" w:sz="4" w:space="0" w:color="BFBFBF"/>
            </w:tcBorders>
            <w:vAlign w:val="center"/>
            <w:hideMark/>
          </w:tcPr>
          <w:p w14:paraId="208727DD"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3.1 </w:t>
            </w:r>
            <w:r w:rsidR="00DF15DA" w:rsidRPr="000F5598">
              <w:rPr>
                <w:rFonts w:ascii="Verdana" w:eastAsia="Calibri" w:hAnsi="Verdana" w:cs="Arial"/>
                <w:b/>
              </w:rPr>
              <w:t>Pagos liquidados y compensados a través del sistema de pagos</w:t>
            </w:r>
          </w:p>
        </w:tc>
        <w:tc>
          <w:tcPr>
            <w:tcW w:w="1276" w:type="dxa"/>
            <w:vMerge w:val="restart"/>
            <w:tcBorders>
              <w:top w:val="single" w:sz="4" w:space="0" w:color="595959"/>
              <w:left w:val="single" w:sz="4" w:space="0" w:color="BFBFBF"/>
              <w:bottom w:val="single" w:sz="4" w:space="0" w:color="BFBFBF"/>
              <w:right w:val="single" w:sz="4" w:space="0" w:color="BFBFBF"/>
            </w:tcBorders>
            <w:vAlign w:val="center"/>
            <w:hideMark/>
          </w:tcPr>
          <w:p w14:paraId="7C111CAD" w14:textId="77777777" w:rsidR="00DF15DA" w:rsidRPr="000F5598" w:rsidRDefault="00C03D8E" w:rsidP="00DF15DA">
            <w:pPr>
              <w:jc w:val="center"/>
              <w:rPr>
                <w:rFonts w:ascii="Verdana" w:eastAsia="Calibri" w:hAnsi="Verdana" w:cs="Arial"/>
              </w:rPr>
            </w:pPr>
            <w:r w:rsidRPr="000F5598">
              <w:rPr>
                <w:rFonts w:ascii="Verdana" w:eastAsia="Calibri" w:hAnsi="Verdana" w:cs="Arial"/>
              </w:rPr>
              <w:t>12.</w:t>
            </w:r>
            <w:r w:rsidR="00DF15DA" w:rsidRPr="000F5598">
              <w:rPr>
                <w:rFonts w:ascii="Verdana" w:eastAsia="Calibri" w:hAnsi="Verdana" w:cs="Arial"/>
              </w:rPr>
              <w:t>50%</w:t>
            </w:r>
          </w:p>
        </w:tc>
        <w:tc>
          <w:tcPr>
            <w:tcW w:w="1417" w:type="dxa"/>
            <w:vMerge w:val="restart"/>
            <w:tcBorders>
              <w:top w:val="single" w:sz="4" w:space="0" w:color="595959"/>
              <w:left w:val="single" w:sz="4" w:space="0" w:color="BFBFBF"/>
              <w:bottom w:val="single" w:sz="4" w:space="0" w:color="BFBFBF"/>
              <w:right w:val="single" w:sz="4" w:space="0" w:color="595959"/>
            </w:tcBorders>
            <w:vAlign w:val="center"/>
            <w:hideMark/>
          </w:tcPr>
          <w:p w14:paraId="37861F6B" w14:textId="77777777" w:rsidR="00DF15DA" w:rsidRPr="000F5598" w:rsidRDefault="00DF15DA" w:rsidP="00DF15DA">
            <w:pPr>
              <w:jc w:val="center"/>
              <w:rPr>
                <w:rFonts w:ascii="Verdana" w:eastAsia="Calibri" w:hAnsi="Verdana" w:cs="Arial"/>
              </w:rPr>
            </w:pPr>
            <w:r w:rsidRPr="000F5598">
              <w:rPr>
                <w:rFonts w:ascii="Verdana" w:eastAsia="Calibri" w:hAnsi="Verdana" w:cs="Arial"/>
              </w:rPr>
              <w:t>CUD</w:t>
            </w:r>
            <w:r w:rsidR="00C03D8E" w:rsidRPr="000F5598">
              <w:rPr>
                <w:rFonts w:ascii="Verdana" w:eastAsia="Calibri" w:hAnsi="Verdana" w:cs="Arial"/>
              </w:rPr>
              <w:t>*</w:t>
            </w:r>
          </w:p>
        </w:tc>
      </w:tr>
      <w:tr w:rsidR="00CF5BD4" w:rsidRPr="000F5598" w14:paraId="38314189" w14:textId="77777777" w:rsidTr="00AB202A">
        <w:trPr>
          <w:trHeight w:val="300"/>
        </w:trPr>
        <w:tc>
          <w:tcPr>
            <w:tcW w:w="2193" w:type="dxa"/>
            <w:vMerge/>
            <w:tcBorders>
              <w:top w:val="single" w:sz="4" w:space="0" w:color="595959"/>
              <w:left w:val="single" w:sz="4" w:space="0" w:color="595959"/>
              <w:bottom w:val="single" w:sz="4" w:space="0" w:color="595959"/>
              <w:right w:val="single" w:sz="4" w:space="0" w:color="BFBFBF"/>
            </w:tcBorders>
            <w:vAlign w:val="center"/>
            <w:hideMark/>
          </w:tcPr>
          <w:p w14:paraId="7DB0F9C9" w14:textId="77777777" w:rsidR="00DF15DA" w:rsidRPr="000F5598" w:rsidRDefault="00DF15DA" w:rsidP="00DF15DA">
            <w:pPr>
              <w:jc w:val="center"/>
              <w:rPr>
                <w:rFonts w:ascii="Verdana" w:eastAsia="Calibri" w:hAnsi="Verdana" w:cs="Arial"/>
                <w:b/>
              </w:rPr>
            </w:pPr>
          </w:p>
        </w:tc>
        <w:tc>
          <w:tcPr>
            <w:tcW w:w="3969" w:type="dxa"/>
            <w:vMerge/>
            <w:tcBorders>
              <w:top w:val="single" w:sz="4" w:space="0" w:color="595959"/>
              <w:left w:val="single" w:sz="4" w:space="0" w:color="BFBFBF"/>
              <w:bottom w:val="single" w:sz="4" w:space="0" w:color="BFBFBF"/>
              <w:right w:val="single" w:sz="4" w:space="0" w:color="BFBFBF"/>
            </w:tcBorders>
            <w:vAlign w:val="center"/>
            <w:hideMark/>
          </w:tcPr>
          <w:p w14:paraId="096B8218" w14:textId="77777777" w:rsidR="00DF15DA" w:rsidRPr="000F5598" w:rsidRDefault="00DF15DA" w:rsidP="00030618">
            <w:pPr>
              <w:rPr>
                <w:rFonts w:ascii="Verdana" w:eastAsia="Calibri" w:hAnsi="Verdana" w:cs="Arial"/>
                <w:b/>
              </w:rPr>
            </w:pPr>
          </w:p>
        </w:tc>
        <w:tc>
          <w:tcPr>
            <w:tcW w:w="1276" w:type="dxa"/>
            <w:vMerge/>
            <w:tcBorders>
              <w:top w:val="single" w:sz="4" w:space="0" w:color="595959"/>
              <w:left w:val="single" w:sz="4" w:space="0" w:color="BFBFBF"/>
              <w:bottom w:val="single" w:sz="4" w:space="0" w:color="BFBFBF"/>
              <w:right w:val="single" w:sz="4" w:space="0" w:color="BFBFBF"/>
            </w:tcBorders>
            <w:vAlign w:val="center"/>
            <w:hideMark/>
          </w:tcPr>
          <w:p w14:paraId="7C6A7FBF" w14:textId="77777777" w:rsidR="00DF15DA" w:rsidRPr="000F5598" w:rsidRDefault="00DF15DA" w:rsidP="00DF15DA">
            <w:pPr>
              <w:jc w:val="center"/>
              <w:rPr>
                <w:rFonts w:ascii="Verdana" w:eastAsia="Calibri" w:hAnsi="Verdana" w:cs="Arial"/>
              </w:rPr>
            </w:pPr>
          </w:p>
        </w:tc>
        <w:tc>
          <w:tcPr>
            <w:tcW w:w="1417" w:type="dxa"/>
            <w:vMerge/>
            <w:tcBorders>
              <w:top w:val="single" w:sz="4" w:space="0" w:color="595959"/>
              <w:left w:val="single" w:sz="4" w:space="0" w:color="BFBFBF"/>
              <w:bottom w:val="single" w:sz="4" w:space="0" w:color="BFBFBF"/>
              <w:right w:val="single" w:sz="4" w:space="0" w:color="595959"/>
            </w:tcBorders>
            <w:vAlign w:val="center"/>
            <w:hideMark/>
          </w:tcPr>
          <w:p w14:paraId="1CB3C8F6" w14:textId="77777777" w:rsidR="00DF15DA" w:rsidRPr="000F5598" w:rsidRDefault="00DF15DA" w:rsidP="00DF15DA">
            <w:pPr>
              <w:jc w:val="center"/>
              <w:rPr>
                <w:rFonts w:ascii="Verdana" w:eastAsia="Calibri" w:hAnsi="Verdana" w:cs="Arial"/>
              </w:rPr>
            </w:pPr>
          </w:p>
        </w:tc>
      </w:tr>
      <w:tr w:rsidR="00CF5BD4" w:rsidRPr="000F5598" w14:paraId="51D2861F" w14:textId="77777777" w:rsidTr="00AB202A">
        <w:trPr>
          <w:trHeight w:val="300"/>
        </w:trPr>
        <w:tc>
          <w:tcPr>
            <w:tcW w:w="2193" w:type="dxa"/>
            <w:vMerge/>
            <w:tcBorders>
              <w:top w:val="single" w:sz="4" w:space="0" w:color="595959"/>
              <w:left w:val="single" w:sz="4" w:space="0" w:color="595959"/>
              <w:bottom w:val="single" w:sz="4" w:space="0" w:color="595959"/>
              <w:right w:val="single" w:sz="4" w:space="0" w:color="BFBFBF"/>
            </w:tcBorders>
            <w:vAlign w:val="center"/>
            <w:hideMark/>
          </w:tcPr>
          <w:p w14:paraId="54ABF923" w14:textId="77777777" w:rsidR="00DF15DA" w:rsidRPr="000F5598" w:rsidRDefault="00DF15DA" w:rsidP="00DF15DA">
            <w:pPr>
              <w:jc w:val="center"/>
              <w:rPr>
                <w:rFonts w:ascii="Verdana" w:eastAsia="Calibri" w:hAnsi="Verdana" w:cs="Arial"/>
                <w:b/>
              </w:rPr>
            </w:pPr>
          </w:p>
        </w:tc>
        <w:tc>
          <w:tcPr>
            <w:tcW w:w="3969" w:type="dxa"/>
            <w:tcBorders>
              <w:top w:val="nil"/>
              <w:left w:val="nil"/>
              <w:bottom w:val="single" w:sz="4" w:space="0" w:color="595959"/>
              <w:right w:val="single" w:sz="4" w:space="0" w:color="BFBFBF"/>
            </w:tcBorders>
            <w:vAlign w:val="center"/>
            <w:hideMark/>
          </w:tcPr>
          <w:p w14:paraId="6481A1C8"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3.2 </w:t>
            </w:r>
            <w:r w:rsidR="00DF15DA" w:rsidRPr="000F5598">
              <w:rPr>
                <w:rFonts w:ascii="Verdana" w:eastAsia="Calibri" w:hAnsi="Verdana" w:cs="Arial"/>
                <w:b/>
              </w:rPr>
              <w:t>Volumen transado</w:t>
            </w:r>
          </w:p>
        </w:tc>
        <w:tc>
          <w:tcPr>
            <w:tcW w:w="1276" w:type="dxa"/>
            <w:tcBorders>
              <w:top w:val="nil"/>
              <w:left w:val="nil"/>
              <w:bottom w:val="single" w:sz="4" w:space="0" w:color="595959"/>
              <w:right w:val="single" w:sz="4" w:space="0" w:color="BFBFBF"/>
            </w:tcBorders>
            <w:vAlign w:val="center"/>
            <w:hideMark/>
          </w:tcPr>
          <w:p w14:paraId="5C286F57" w14:textId="77777777" w:rsidR="00DF15DA" w:rsidRPr="000F5598" w:rsidRDefault="00C03D8E" w:rsidP="00DF15DA">
            <w:pPr>
              <w:jc w:val="center"/>
              <w:rPr>
                <w:rFonts w:ascii="Verdana" w:eastAsia="Calibri" w:hAnsi="Verdana" w:cs="Arial"/>
              </w:rPr>
            </w:pPr>
            <w:r w:rsidRPr="000F5598">
              <w:rPr>
                <w:rFonts w:ascii="Verdana" w:eastAsia="Calibri" w:hAnsi="Verdana" w:cs="Arial"/>
              </w:rPr>
              <w:t>12.</w:t>
            </w:r>
            <w:r w:rsidR="00DF15DA" w:rsidRPr="000F5598">
              <w:rPr>
                <w:rFonts w:ascii="Verdana" w:eastAsia="Calibri" w:hAnsi="Verdana" w:cs="Arial"/>
              </w:rPr>
              <w:t>50%</w:t>
            </w:r>
          </w:p>
        </w:tc>
        <w:tc>
          <w:tcPr>
            <w:tcW w:w="1417" w:type="dxa"/>
            <w:tcBorders>
              <w:top w:val="nil"/>
              <w:left w:val="nil"/>
              <w:bottom w:val="single" w:sz="4" w:space="0" w:color="595959"/>
              <w:right w:val="single" w:sz="4" w:space="0" w:color="595959"/>
            </w:tcBorders>
            <w:vAlign w:val="center"/>
            <w:hideMark/>
          </w:tcPr>
          <w:p w14:paraId="164435D9" w14:textId="77777777" w:rsidR="00DF15DA" w:rsidRPr="000F5598" w:rsidRDefault="00DF15DA" w:rsidP="00DF15DA">
            <w:pPr>
              <w:jc w:val="center"/>
              <w:rPr>
                <w:rFonts w:ascii="Verdana" w:eastAsia="Calibri" w:hAnsi="Verdana" w:cs="Arial"/>
              </w:rPr>
            </w:pPr>
            <w:r w:rsidRPr="000F5598">
              <w:rPr>
                <w:rFonts w:ascii="Verdana" w:eastAsia="Calibri" w:hAnsi="Verdana" w:cs="Arial"/>
              </w:rPr>
              <w:t>SEN</w:t>
            </w:r>
            <w:r w:rsidR="00C03D8E" w:rsidRPr="000F5598">
              <w:rPr>
                <w:rFonts w:ascii="Verdana" w:eastAsia="Calibri" w:hAnsi="Verdana" w:cs="Arial"/>
              </w:rPr>
              <w:t>**</w:t>
            </w:r>
            <w:r w:rsidRPr="000F5598">
              <w:rPr>
                <w:rFonts w:ascii="Verdana" w:eastAsia="Calibri" w:hAnsi="Verdana" w:cs="Arial"/>
              </w:rPr>
              <w:t xml:space="preserve"> y MEC</w:t>
            </w:r>
            <w:r w:rsidR="00C03D8E" w:rsidRPr="000F5598">
              <w:rPr>
                <w:rFonts w:ascii="Verdana" w:eastAsia="Calibri" w:hAnsi="Verdana" w:cs="Arial"/>
              </w:rPr>
              <w:t>***</w:t>
            </w:r>
          </w:p>
        </w:tc>
      </w:tr>
      <w:tr w:rsidR="00CF5BD4" w:rsidRPr="000F5598" w14:paraId="0D4CF825" w14:textId="77777777" w:rsidTr="00AB202A">
        <w:trPr>
          <w:trHeight w:val="765"/>
        </w:trPr>
        <w:tc>
          <w:tcPr>
            <w:tcW w:w="2193" w:type="dxa"/>
            <w:vMerge w:val="restart"/>
            <w:tcBorders>
              <w:top w:val="nil"/>
              <w:left w:val="single" w:sz="4" w:space="0" w:color="595959"/>
              <w:bottom w:val="single" w:sz="4" w:space="0" w:color="595959"/>
              <w:right w:val="single" w:sz="4" w:space="0" w:color="BFBFBF"/>
            </w:tcBorders>
            <w:vAlign w:val="center"/>
            <w:hideMark/>
          </w:tcPr>
          <w:p w14:paraId="14702742" w14:textId="77777777" w:rsidR="00DF15DA" w:rsidRPr="000F5598" w:rsidRDefault="00DF15DA" w:rsidP="00957418">
            <w:pPr>
              <w:numPr>
                <w:ilvl w:val="0"/>
                <w:numId w:val="15"/>
              </w:numPr>
              <w:tabs>
                <w:tab w:val="left" w:pos="423"/>
              </w:tabs>
              <w:rPr>
                <w:rFonts w:ascii="Verdana" w:eastAsia="Calibri" w:hAnsi="Verdana" w:cs="Arial"/>
                <w:b/>
              </w:rPr>
            </w:pPr>
            <w:r w:rsidRPr="000F5598">
              <w:rPr>
                <w:rFonts w:ascii="Verdana" w:eastAsia="Calibri" w:hAnsi="Verdana" w:cs="Arial"/>
                <w:b/>
              </w:rPr>
              <w:t>Complejidad (25%)</w:t>
            </w:r>
          </w:p>
        </w:tc>
        <w:tc>
          <w:tcPr>
            <w:tcW w:w="3969" w:type="dxa"/>
            <w:tcBorders>
              <w:top w:val="nil"/>
              <w:left w:val="nil"/>
              <w:bottom w:val="single" w:sz="4" w:space="0" w:color="BFBFBF"/>
              <w:right w:val="single" w:sz="4" w:space="0" w:color="BFBFBF"/>
            </w:tcBorders>
            <w:vAlign w:val="center"/>
            <w:hideMark/>
          </w:tcPr>
          <w:p w14:paraId="2D9EDA35"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4.1 </w:t>
            </w:r>
            <w:r w:rsidR="00DF15DA" w:rsidRPr="000F5598">
              <w:rPr>
                <w:rFonts w:ascii="Verdana" w:eastAsia="Calibri" w:hAnsi="Verdana" w:cs="Arial"/>
                <w:b/>
              </w:rPr>
              <w:t>Derivados brutos OTC</w:t>
            </w:r>
          </w:p>
        </w:tc>
        <w:tc>
          <w:tcPr>
            <w:tcW w:w="1276" w:type="dxa"/>
            <w:tcBorders>
              <w:top w:val="nil"/>
              <w:left w:val="nil"/>
              <w:bottom w:val="single" w:sz="4" w:space="0" w:color="BFBFBF"/>
              <w:right w:val="single" w:sz="4" w:space="0" w:color="BFBFBF"/>
            </w:tcBorders>
            <w:vAlign w:val="center"/>
            <w:hideMark/>
          </w:tcPr>
          <w:p w14:paraId="4225E4D1"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single" w:sz="4" w:space="0" w:color="BFBFBF"/>
              <w:right w:val="single" w:sz="4" w:space="0" w:color="595959"/>
            </w:tcBorders>
            <w:vAlign w:val="center"/>
            <w:hideMark/>
          </w:tcPr>
          <w:p w14:paraId="42C7FD4B" w14:textId="21D6FB40" w:rsidR="00DF15DA" w:rsidRPr="000F5598" w:rsidRDefault="00DF15DA" w:rsidP="00DF15DA">
            <w:pPr>
              <w:jc w:val="center"/>
              <w:rPr>
                <w:rFonts w:ascii="Verdana" w:eastAsia="Calibri" w:hAnsi="Verdana" w:cs="Arial"/>
              </w:rPr>
            </w:pPr>
            <w:r w:rsidRPr="000F5598">
              <w:rPr>
                <w:rFonts w:ascii="Verdana" w:eastAsia="Calibri" w:hAnsi="Verdana" w:cs="Arial"/>
              </w:rPr>
              <w:t xml:space="preserve">Formato </w:t>
            </w:r>
            <w:r w:rsidR="0048743A">
              <w:rPr>
                <w:rFonts w:ascii="Verdana" w:eastAsia="Calibri" w:hAnsi="Verdana" w:cs="Arial"/>
              </w:rPr>
              <w:t>415</w:t>
            </w:r>
          </w:p>
        </w:tc>
      </w:tr>
      <w:tr w:rsidR="00CF5BD4" w:rsidRPr="000F5598" w14:paraId="64573D1A" w14:textId="77777777" w:rsidTr="00AB202A">
        <w:trPr>
          <w:trHeight w:val="300"/>
        </w:trPr>
        <w:tc>
          <w:tcPr>
            <w:tcW w:w="2193" w:type="dxa"/>
            <w:vMerge/>
            <w:tcBorders>
              <w:top w:val="nil"/>
              <w:left w:val="single" w:sz="4" w:space="0" w:color="595959"/>
              <w:bottom w:val="single" w:sz="4" w:space="0" w:color="595959"/>
              <w:right w:val="single" w:sz="4" w:space="0" w:color="BFBFBF"/>
            </w:tcBorders>
            <w:vAlign w:val="center"/>
            <w:hideMark/>
          </w:tcPr>
          <w:p w14:paraId="5CD86B5F" w14:textId="77777777" w:rsidR="00DF15DA" w:rsidRPr="000F5598" w:rsidRDefault="00DF15DA" w:rsidP="00DF15DA">
            <w:pPr>
              <w:jc w:val="center"/>
              <w:rPr>
                <w:rFonts w:ascii="Verdana" w:eastAsia="Calibri" w:hAnsi="Verdana" w:cs="Arial"/>
              </w:rPr>
            </w:pPr>
          </w:p>
        </w:tc>
        <w:tc>
          <w:tcPr>
            <w:tcW w:w="3969" w:type="dxa"/>
            <w:tcBorders>
              <w:top w:val="nil"/>
              <w:left w:val="nil"/>
              <w:bottom w:val="single" w:sz="4" w:space="0" w:color="BFBFBF"/>
              <w:right w:val="single" w:sz="4" w:space="0" w:color="BFBFBF"/>
            </w:tcBorders>
            <w:vAlign w:val="center"/>
            <w:hideMark/>
          </w:tcPr>
          <w:p w14:paraId="759C03BC"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4.2 </w:t>
            </w:r>
            <w:r w:rsidR="00DF15DA" w:rsidRPr="000F5598">
              <w:rPr>
                <w:rFonts w:ascii="Verdana" w:eastAsia="Calibri" w:hAnsi="Verdana" w:cs="Arial"/>
                <w:b/>
              </w:rPr>
              <w:t>Activos de nivel 3</w:t>
            </w:r>
          </w:p>
        </w:tc>
        <w:tc>
          <w:tcPr>
            <w:tcW w:w="1276" w:type="dxa"/>
            <w:tcBorders>
              <w:top w:val="nil"/>
              <w:left w:val="nil"/>
              <w:bottom w:val="single" w:sz="4" w:space="0" w:color="BFBFBF"/>
              <w:right w:val="single" w:sz="4" w:space="0" w:color="BFBFBF"/>
            </w:tcBorders>
            <w:vAlign w:val="center"/>
            <w:hideMark/>
          </w:tcPr>
          <w:p w14:paraId="7D483688"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single" w:sz="4" w:space="0" w:color="BFBFBF"/>
              <w:right w:val="single" w:sz="4" w:space="0" w:color="595959"/>
            </w:tcBorders>
            <w:vAlign w:val="center"/>
            <w:hideMark/>
          </w:tcPr>
          <w:p w14:paraId="56610DB2" w14:textId="78D858EC" w:rsidR="00DF15DA" w:rsidRPr="000F5598" w:rsidRDefault="00DA2A23" w:rsidP="00DF15DA">
            <w:pPr>
              <w:jc w:val="center"/>
              <w:rPr>
                <w:rFonts w:ascii="Verdana" w:eastAsia="Calibri" w:hAnsi="Verdana" w:cs="Arial"/>
              </w:rPr>
            </w:pPr>
            <w:r>
              <w:rPr>
                <w:rFonts w:ascii="Verdana" w:eastAsia="Calibri" w:hAnsi="Verdana" w:cs="Arial"/>
              </w:rPr>
              <w:t>Notas a los Estados Financieros</w:t>
            </w:r>
          </w:p>
        </w:tc>
      </w:tr>
      <w:tr w:rsidR="00CF5BD4" w:rsidRPr="000F5598" w14:paraId="361C96DF" w14:textId="77777777" w:rsidTr="00AB202A">
        <w:trPr>
          <w:trHeight w:val="510"/>
        </w:trPr>
        <w:tc>
          <w:tcPr>
            <w:tcW w:w="2193" w:type="dxa"/>
            <w:vMerge/>
            <w:tcBorders>
              <w:top w:val="nil"/>
              <w:left w:val="single" w:sz="4" w:space="0" w:color="595959"/>
              <w:bottom w:val="single" w:sz="4" w:space="0" w:color="595959"/>
              <w:right w:val="single" w:sz="4" w:space="0" w:color="BFBFBF"/>
            </w:tcBorders>
            <w:vAlign w:val="center"/>
            <w:hideMark/>
          </w:tcPr>
          <w:p w14:paraId="01D00DAD" w14:textId="77777777" w:rsidR="00DF15DA" w:rsidRPr="000F5598" w:rsidRDefault="00DF15DA" w:rsidP="00DF15DA">
            <w:pPr>
              <w:jc w:val="center"/>
              <w:rPr>
                <w:rFonts w:ascii="Verdana" w:eastAsia="Calibri" w:hAnsi="Verdana" w:cs="Arial"/>
              </w:rPr>
            </w:pPr>
          </w:p>
        </w:tc>
        <w:tc>
          <w:tcPr>
            <w:tcW w:w="3969" w:type="dxa"/>
            <w:tcBorders>
              <w:top w:val="nil"/>
              <w:left w:val="nil"/>
              <w:bottom w:val="single" w:sz="4" w:space="0" w:color="595959"/>
              <w:right w:val="single" w:sz="4" w:space="0" w:color="BFBFBF"/>
            </w:tcBorders>
            <w:vAlign w:val="center"/>
            <w:hideMark/>
          </w:tcPr>
          <w:p w14:paraId="25A969A9" w14:textId="77777777" w:rsidR="00DF15DA" w:rsidRPr="000F5598" w:rsidRDefault="00030618" w:rsidP="00030618">
            <w:pPr>
              <w:rPr>
                <w:rFonts w:ascii="Verdana" w:eastAsia="Calibri" w:hAnsi="Verdana" w:cs="Arial"/>
                <w:b/>
              </w:rPr>
            </w:pPr>
            <w:r w:rsidRPr="000F5598">
              <w:rPr>
                <w:rFonts w:ascii="Verdana" w:eastAsia="Calibri" w:hAnsi="Verdana" w:cs="Arial"/>
                <w:b/>
              </w:rPr>
              <w:t xml:space="preserve">4.3 </w:t>
            </w:r>
            <w:r w:rsidR="00DF15DA" w:rsidRPr="000F5598">
              <w:rPr>
                <w:rFonts w:ascii="Verdana" w:eastAsia="Calibri" w:hAnsi="Verdana" w:cs="Arial"/>
                <w:b/>
              </w:rPr>
              <w:t>Inversiones negociables y disponibles para la venta</w:t>
            </w:r>
          </w:p>
        </w:tc>
        <w:tc>
          <w:tcPr>
            <w:tcW w:w="1276" w:type="dxa"/>
            <w:tcBorders>
              <w:top w:val="nil"/>
              <w:left w:val="nil"/>
              <w:bottom w:val="single" w:sz="4" w:space="0" w:color="595959"/>
              <w:right w:val="single" w:sz="4" w:space="0" w:color="BFBFBF"/>
            </w:tcBorders>
            <w:vAlign w:val="center"/>
            <w:hideMark/>
          </w:tcPr>
          <w:p w14:paraId="6F473AA2" w14:textId="77777777" w:rsidR="00DF15DA" w:rsidRPr="000F5598" w:rsidRDefault="00C03D8E" w:rsidP="00DF15DA">
            <w:pPr>
              <w:jc w:val="center"/>
              <w:rPr>
                <w:rFonts w:ascii="Verdana" w:eastAsia="Calibri" w:hAnsi="Verdana" w:cs="Arial"/>
              </w:rPr>
            </w:pPr>
            <w:r w:rsidRPr="000F5598">
              <w:rPr>
                <w:rFonts w:ascii="Verdana" w:eastAsia="Calibri" w:hAnsi="Verdana" w:cs="Arial"/>
              </w:rPr>
              <w:t>8.</w:t>
            </w:r>
            <w:r w:rsidR="00DF15DA" w:rsidRPr="000F5598">
              <w:rPr>
                <w:rFonts w:ascii="Verdana" w:eastAsia="Calibri" w:hAnsi="Verdana" w:cs="Arial"/>
              </w:rPr>
              <w:t>30%</w:t>
            </w:r>
          </w:p>
        </w:tc>
        <w:tc>
          <w:tcPr>
            <w:tcW w:w="1417" w:type="dxa"/>
            <w:tcBorders>
              <w:top w:val="nil"/>
              <w:left w:val="nil"/>
              <w:bottom w:val="single" w:sz="4" w:space="0" w:color="595959"/>
              <w:right w:val="single" w:sz="4" w:space="0" w:color="595959"/>
            </w:tcBorders>
            <w:vAlign w:val="center"/>
            <w:hideMark/>
          </w:tcPr>
          <w:p w14:paraId="1AA13936" w14:textId="77777777" w:rsidR="00DF15DA" w:rsidRPr="000F5598" w:rsidRDefault="00DF15DA" w:rsidP="00DF15DA">
            <w:pPr>
              <w:jc w:val="center"/>
              <w:rPr>
                <w:rFonts w:ascii="Verdana" w:eastAsia="Calibri" w:hAnsi="Verdana" w:cs="Arial"/>
              </w:rPr>
            </w:pPr>
            <w:r w:rsidRPr="000F5598">
              <w:rPr>
                <w:rFonts w:ascii="Verdana" w:eastAsia="Calibri" w:hAnsi="Verdana" w:cs="Arial"/>
              </w:rPr>
              <w:t>Formato 351</w:t>
            </w:r>
          </w:p>
        </w:tc>
      </w:tr>
    </w:tbl>
    <w:p w14:paraId="01D4C314" w14:textId="77777777" w:rsidR="009F5EAF" w:rsidRPr="000F5598" w:rsidRDefault="00C03D8E" w:rsidP="009F5EAF">
      <w:pPr>
        <w:ind w:left="284"/>
        <w:jc w:val="both"/>
        <w:rPr>
          <w:rFonts w:ascii="Verdana" w:hAnsi="Verdana" w:cs="Arial"/>
          <w:sz w:val="16"/>
          <w:szCs w:val="16"/>
          <w:lang w:val="es-CO"/>
        </w:rPr>
      </w:pPr>
      <w:r w:rsidRPr="000F5598">
        <w:rPr>
          <w:rFonts w:ascii="Verdana" w:eastAsia="Calibri" w:hAnsi="Verdana" w:cs="Arial"/>
          <w:sz w:val="16"/>
          <w:szCs w:val="16"/>
        </w:rPr>
        <w:t xml:space="preserve">* </w:t>
      </w:r>
      <w:r w:rsidR="009F5EAF" w:rsidRPr="000F5598">
        <w:rPr>
          <w:rFonts w:ascii="Verdana" w:hAnsi="Verdana" w:cs="Arial"/>
          <w:sz w:val="16"/>
          <w:szCs w:val="16"/>
          <w:lang w:val="es-CO"/>
        </w:rPr>
        <w:t>CUD: Sistema de Cuentas de depósito, es el sistema de pagos de alto valor administrado y operado por el Banco de la República.</w:t>
      </w:r>
    </w:p>
    <w:p w14:paraId="5A4C967A" w14:textId="77777777" w:rsidR="009F5EAF" w:rsidRPr="000F5598" w:rsidRDefault="009F5EAF" w:rsidP="009F5EAF">
      <w:pPr>
        <w:ind w:left="284"/>
        <w:jc w:val="both"/>
        <w:rPr>
          <w:rFonts w:ascii="Verdana" w:hAnsi="Verdana" w:cs="Arial"/>
          <w:sz w:val="16"/>
          <w:szCs w:val="16"/>
          <w:lang w:val="es-CO"/>
        </w:rPr>
      </w:pPr>
      <w:r w:rsidRPr="000F5598">
        <w:rPr>
          <w:rFonts w:ascii="Verdana" w:hAnsi="Verdana" w:cs="Arial"/>
          <w:sz w:val="16"/>
          <w:szCs w:val="16"/>
          <w:lang w:val="es-CO"/>
        </w:rPr>
        <w:t>** MEC: Mercado Electrónico Colombiano, administrado por la Bolsa de Valores de Colombia.</w:t>
      </w:r>
    </w:p>
    <w:p w14:paraId="4735B9B6" w14:textId="77777777" w:rsidR="00740BF7" w:rsidRPr="000F5598" w:rsidRDefault="009F5EAF" w:rsidP="009F5EAF">
      <w:pPr>
        <w:ind w:left="284"/>
        <w:jc w:val="both"/>
        <w:rPr>
          <w:rFonts w:ascii="Verdana" w:hAnsi="Verdana" w:cs="Arial"/>
          <w:sz w:val="16"/>
          <w:szCs w:val="16"/>
        </w:rPr>
      </w:pPr>
      <w:r w:rsidRPr="000F5598">
        <w:rPr>
          <w:rFonts w:ascii="Verdana" w:hAnsi="Verdana" w:cs="Arial"/>
          <w:sz w:val="16"/>
          <w:szCs w:val="16"/>
          <w:lang w:val="es-CO"/>
        </w:rPr>
        <w:t>*** SEN: Sistema Electrónico de Negociación, es un sistema para la negociación y de registro de operaciones sobre Valores, administrado por el Banco de la República.</w:t>
      </w:r>
    </w:p>
    <w:p w14:paraId="73226177" w14:textId="77777777" w:rsidR="00DF15DA" w:rsidRPr="000F5598" w:rsidRDefault="00DF15DA" w:rsidP="002E658A">
      <w:pPr>
        <w:jc w:val="both"/>
        <w:rPr>
          <w:rFonts w:ascii="Verdana" w:hAnsi="Verdana" w:cs="Arial"/>
          <w:b/>
        </w:rPr>
      </w:pPr>
    </w:p>
    <w:p w14:paraId="09021715" w14:textId="77777777" w:rsidR="00C5395C" w:rsidRPr="000F5598" w:rsidRDefault="005861F6" w:rsidP="009D388A">
      <w:pPr>
        <w:jc w:val="both"/>
        <w:rPr>
          <w:rFonts w:ascii="Verdana" w:hAnsi="Verdana" w:cs="Arial"/>
          <w:lang w:val="es-CO"/>
        </w:rPr>
      </w:pPr>
      <w:r w:rsidRPr="000F5598">
        <w:rPr>
          <w:rFonts w:ascii="Verdana" w:hAnsi="Verdana" w:cs="Arial"/>
          <w:b/>
          <w:lang w:val="es-CO"/>
        </w:rPr>
        <w:t>Cálculo de la puntuación</w:t>
      </w:r>
    </w:p>
    <w:p w14:paraId="303C360E" w14:textId="77777777" w:rsidR="00C5395C" w:rsidRPr="009D388A" w:rsidRDefault="00C5395C" w:rsidP="00C5395C">
      <w:pPr>
        <w:jc w:val="both"/>
        <w:rPr>
          <w:rFonts w:ascii="Verdana" w:hAnsi="Verdana" w:cs="Arial"/>
          <w:bCs/>
          <w:lang w:val="es-CO"/>
        </w:rPr>
      </w:pPr>
    </w:p>
    <w:p w14:paraId="1953E3C2" w14:textId="3382782F" w:rsidR="00034531" w:rsidRDefault="00034531" w:rsidP="00034531">
      <w:pPr>
        <w:jc w:val="both"/>
        <w:rPr>
          <w:rFonts w:ascii="Verdana" w:hAnsi="Verdana" w:cs="Arial"/>
        </w:rPr>
      </w:pPr>
      <w:r w:rsidRPr="02C49DE0">
        <w:rPr>
          <w:rFonts w:ascii="Verdana" w:hAnsi="Verdana" w:cs="Arial"/>
        </w:rPr>
        <w:t>2</w:t>
      </w:r>
      <w:r w:rsidRPr="1A3F48A4">
        <w:rPr>
          <w:rFonts w:ascii="Verdana" w:hAnsi="Verdana" w:cs="Arial"/>
        </w:rPr>
        <w:t>.1</w:t>
      </w:r>
      <w:r w:rsidRPr="021C7461">
        <w:rPr>
          <w:rFonts w:ascii="Verdana" w:hAnsi="Verdana" w:cs="Arial"/>
        </w:rPr>
        <w:t>.A2.</w:t>
      </w:r>
      <w:r>
        <w:rPr>
          <w:rFonts w:ascii="Verdana" w:hAnsi="Verdana" w:cs="Arial"/>
        </w:rPr>
        <w:t>10</w:t>
      </w:r>
      <w:r w:rsidRPr="10E80AEA">
        <w:rPr>
          <w:rFonts w:ascii="Verdana" w:hAnsi="Verdana" w:cs="Arial"/>
        </w:rPr>
        <w:t>.</w:t>
      </w:r>
    </w:p>
    <w:p w14:paraId="10F27E1F" w14:textId="77777777" w:rsidR="002E658A" w:rsidRPr="000F5598" w:rsidRDefault="005861F6" w:rsidP="00C5395C">
      <w:pPr>
        <w:jc w:val="both"/>
        <w:rPr>
          <w:rFonts w:ascii="Verdana" w:hAnsi="Verdana" w:cs="Arial"/>
          <w:lang w:val="es-CO"/>
        </w:rPr>
      </w:pPr>
      <w:r w:rsidRPr="000F5598">
        <w:rPr>
          <w:rFonts w:ascii="Verdana" w:hAnsi="Verdana" w:cs="Arial"/>
          <w:lang w:val="es-CO"/>
        </w:rPr>
        <w:t>E</w:t>
      </w:r>
      <w:r w:rsidR="002E658A" w:rsidRPr="000F5598">
        <w:rPr>
          <w:rFonts w:ascii="Verdana" w:hAnsi="Verdana" w:cs="Arial"/>
          <w:lang w:val="es-CO"/>
        </w:rPr>
        <w:t>l grado de sistemicidad se obtiene a partir del puntaje obtenido por la entidad,</w:t>
      </w:r>
      <w:r w:rsidR="0082709E" w:rsidRPr="000F5598">
        <w:rPr>
          <w:rFonts w:ascii="Verdana" w:hAnsi="Verdana" w:cs="Arial"/>
          <w:lang w:val="es-CO"/>
        </w:rPr>
        <w:t xml:space="preserve"> el cual se calcula </w:t>
      </w:r>
      <w:r w:rsidR="002E658A" w:rsidRPr="000F5598">
        <w:rPr>
          <w:rFonts w:ascii="Verdana" w:hAnsi="Verdana" w:cs="Arial"/>
          <w:lang w:val="es-CO"/>
        </w:rPr>
        <w:t xml:space="preserve">de la siguiente manera: </w:t>
      </w:r>
    </w:p>
    <w:p w14:paraId="41DD263B" w14:textId="77777777" w:rsidR="00C37B8C" w:rsidRPr="000F5598" w:rsidRDefault="00C37B8C" w:rsidP="002E658A">
      <w:pPr>
        <w:jc w:val="both"/>
        <w:rPr>
          <w:rFonts w:ascii="Verdana" w:hAnsi="Verdana" w:cs="Arial"/>
          <w:lang w:val="es-CO"/>
        </w:rPr>
      </w:pPr>
    </w:p>
    <w:p w14:paraId="5C107D66" w14:textId="77777777" w:rsidR="002E658A" w:rsidRPr="000F5598" w:rsidRDefault="002E658A" w:rsidP="002E658A">
      <w:pPr>
        <w:pStyle w:val="Prrafodelista"/>
        <w:numPr>
          <w:ilvl w:val="0"/>
          <w:numId w:val="6"/>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 xml:space="preserve">Para cada indicador, se dividirá su valor entre la suma de los valores del indicador para todas las entidades susceptibles de ser identificadas como entidades sistémicas. </w:t>
      </w:r>
    </w:p>
    <w:p w14:paraId="7FA79555" w14:textId="77777777" w:rsidR="0082709E" w:rsidRPr="000F5598" w:rsidRDefault="0082709E" w:rsidP="005861F6">
      <w:pPr>
        <w:pStyle w:val="Prrafodelista"/>
        <w:spacing w:after="160" w:line="259" w:lineRule="auto"/>
        <w:jc w:val="both"/>
        <w:rPr>
          <w:rFonts w:ascii="Verdana" w:eastAsia="Times New Roman" w:hAnsi="Verdana" w:cs="Arial"/>
          <w:sz w:val="20"/>
          <w:szCs w:val="20"/>
          <w:lang w:eastAsia="es-CO"/>
        </w:rPr>
      </w:pPr>
    </w:p>
    <w:p w14:paraId="5B18D191" w14:textId="77777777" w:rsidR="002E658A" w:rsidRPr="000F5598" w:rsidRDefault="002E658A" w:rsidP="002E658A">
      <w:pPr>
        <w:pStyle w:val="Prrafodelista"/>
        <w:numPr>
          <w:ilvl w:val="0"/>
          <w:numId w:val="6"/>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 xml:space="preserve">El valor resultante se multiplicará por la ponderación correspondiente del indicador. </w:t>
      </w:r>
    </w:p>
    <w:p w14:paraId="622C92E5" w14:textId="77777777" w:rsidR="0082709E" w:rsidRPr="000F5598" w:rsidRDefault="0082709E" w:rsidP="005861F6">
      <w:pPr>
        <w:pStyle w:val="Prrafodelista"/>
        <w:spacing w:after="160" w:line="259" w:lineRule="auto"/>
        <w:jc w:val="both"/>
        <w:rPr>
          <w:rFonts w:ascii="Verdana" w:eastAsia="Times New Roman" w:hAnsi="Verdana" w:cs="Arial"/>
          <w:sz w:val="20"/>
          <w:szCs w:val="20"/>
          <w:lang w:eastAsia="es-CO"/>
        </w:rPr>
      </w:pPr>
    </w:p>
    <w:p w14:paraId="630C589F" w14:textId="77777777" w:rsidR="002E658A" w:rsidRPr="000F5598" w:rsidRDefault="0082709E" w:rsidP="002E658A">
      <w:pPr>
        <w:pStyle w:val="Prrafodelista"/>
        <w:numPr>
          <w:ilvl w:val="0"/>
          <w:numId w:val="6"/>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L</w:t>
      </w:r>
      <w:r w:rsidR="002E658A" w:rsidRPr="000F5598">
        <w:rPr>
          <w:rFonts w:ascii="Verdana" w:eastAsia="Times New Roman" w:hAnsi="Verdana" w:cs="Arial"/>
          <w:sz w:val="20"/>
          <w:szCs w:val="20"/>
          <w:lang w:eastAsia="es-CO"/>
        </w:rPr>
        <w:t xml:space="preserve">a suma de los puntajes de los indicadores de </w:t>
      </w:r>
      <w:r w:rsidRPr="000F5598">
        <w:rPr>
          <w:rFonts w:ascii="Verdana" w:eastAsia="Times New Roman" w:hAnsi="Verdana" w:cs="Arial"/>
          <w:sz w:val="20"/>
          <w:szCs w:val="20"/>
          <w:lang w:eastAsia="es-CO"/>
        </w:rPr>
        <w:t xml:space="preserve">una </w:t>
      </w:r>
      <w:r w:rsidR="002E658A" w:rsidRPr="000F5598">
        <w:rPr>
          <w:rFonts w:ascii="Verdana" w:eastAsia="Times New Roman" w:hAnsi="Verdana" w:cs="Arial"/>
          <w:sz w:val="20"/>
          <w:szCs w:val="20"/>
          <w:lang w:eastAsia="es-CO"/>
        </w:rPr>
        <w:t>categoría</w:t>
      </w:r>
      <w:r w:rsidR="00DF15DA" w:rsidRPr="000F5598">
        <w:rPr>
          <w:rFonts w:ascii="Verdana" w:eastAsia="Times New Roman" w:hAnsi="Verdana" w:cs="Arial"/>
          <w:sz w:val="20"/>
          <w:szCs w:val="20"/>
          <w:lang w:eastAsia="es-CO"/>
        </w:rPr>
        <w:t xml:space="preserve"> </w:t>
      </w:r>
      <w:r w:rsidRPr="000F5598">
        <w:rPr>
          <w:rFonts w:ascii="Verdana" w:eastAsia="Times New Roman" w:hAnsi="Verdana" w:cs="Arial"/>
          <w:sz w:val="20"/>
          <w:szCs w:val="20"/>
          <w:lang w:eastAsia="es-CO"/>
        </w:rPr>
        <w:t>determina la puntuación de ésta para cada entidad</w:t>
      </w:r>
      <w:r w:rsidR="002E658A" w:rsidRPr="000F5598">
        <w:rPr>
          <w:rFonts w:ascii="Verdana" w:eastAsia="Times New Roman" w:hAnsi="Verdana" w:cs="Arial"/>
          <w:sz w:val="20"/>
          <w:szCs w:val="20"/>
          <w:lang w:eastAsia="es-CO"/>
        </w:rPr>
        <w:t xml:space="preserve">. </w:t>
      </w:r>
    </w:p>
    <w:p w14:paraId="6BB0A825" w14:textId="77777777" w:rsidR="0082709E" w:rsidRPr="000F5598" w:rsidRDefault="0082709E" w:rsidP="005861F6">
      <w:pPr>
        <w:pStyle w:val="Prrafodelista"/>
        <w:spacing w:after="160" w:line="259" w:lineRule="auto"/>
        <w:jc w:val="both"/>
        <w:rPr>
          <w:rFonts w:ascii="Verdana" w:eastAsia="Times New Roman" w:hAnsi="Verdana" w:cs="Arial"/>
          <w:sz w:val="20"/>
          <w:szCs w:val="20"/>
          <w:lang w:eastAsia="es-CO"/>
        </w:rPr>
      </w:pPr>
    </w:p>
    <w:p w14:paraId="732F9238" w14:textId="77777777" w:rsidR="002E658A" w:rsidRPr="000F5598" w:rsidRDefault="005861F6" w:rsidP="002E658A">
      <w:pPr>
        <w:pStyle w:val="Prrafodelista"/>
        <w:numPr>
          <w:ilvl w:val="0"/>
          <w:numId w:val="6"/>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L</w:t>
      </w:r>
      <w:r w:rsidR="002E658A" w:rsidRPr="000F5598">
        <w:rPr>
          <w:rFonts w:ascii="Verdana" w:eastAsia="Times New Roman" w:hAnsi="Verdana" w:cs="Arial"/>
          <w:sz w:val="20"/>
          <w:szCs w:val="20"/>
          <w:lang w:eastAsia="es-CO"/>
        </w:rPr>
        <w:t>a suma de las puntuaciones de las 4 categorías</w:t>
      </w:r>
      <w:r w:rsidRPr="000F5598">
        <w:rPr>
          <w:rFonts w:ascii="Verdana" w:eastAsia="Times New Roman" w:hAnsi="Verdana" w:cs="Arial"/>
          <w:sz w:val="20"/>
          <w:szCs w:val="20"/>
          <w:lang w:eastAsia="es-CO"/>
        </w:rPr>
        <w:t xml:space="preserve"> determina la puntuación total </w:t>
      </w:r>
      <w:r w:rsidR="00DF15DA" w:rsidRPr="000F5598">
        <w:rPr>
          <w:rFonts w:ascii="Verdana" w:eastAsia="Times New Roman" w:hAnsi="Verdana" w:cs="Arial"/>
          <w:sz w:val="20"/>
          <w:szCs w:val="20"/>
          <w:lang w:eastAsia="es-CO"/>
        </w:rPr>
        <w:t xml:space="preserve">(grado de sistemicidad) de </w:t>
      </w:r>
      <w:r w:rsidRPr="000F5598">
        <w:rPr>
          <w:rFonts w:ascii="Verdana" w:eastAsia="Times New Roman" w:hAnsi="Verdana" w:cs="Arial"/>
          <w:sz w:val="20"/>
          <w:szCs w:val="20"/>
          <w:lang w:eastAsia="es-CO"/>
        </w:rPr>
        <w:t>cada entidad.</w:t>
      </w:r>
    </w:p>
    <w:p w14:paraId="18116E94" w14:textId="77777777" w:rsidR="00D65644" w:rsidRPr="000F5598" w:rsidRDefault="00D65644" w:rsidP="00D65644">
      <w:pPr>
        <w:pStyle w:val="Prrafodelista"/>
        <w:spacing w:after="160" w:line="259" w:lineRule="auto"/>
        <w:jc w:val="both"/>
        <w:rPr>
          <w:rFonts w:ascii="Verdana" w:eastAsia="Times New Roman" w:hAnsi="Verdana" w:cs="Arial"/>
          <w:sz w:val="20"/>
          <w:szCs w:val="20"/>
          <w:lang w:eastAsia="es-CO"/>
        </w:rPr>
      </w:pPr>
    </w:p>
    <w:p w14:paraId="7E09C049" w14:textId="339937BF" w:rsidR="00C5395C" w:rsidRPr="000F5598" w:rsidRDefault="005861F6" w:rsidP="00674EEE">
      <w:pPr>
        <w:jc w:val="both"/>
        <w:rPr>
          <w:rFonts w:ascii="Verdana" w:hAnsi="Verdana" w:cs="Arial"/>
          <w:lang w:val="es-CO"/>
        </w:rPr>
      </w:pPr>
      <w:r w:rsidRPr="000F5598">
        <w:rPr>
          <w:rFonts w:ascii="Verdana" w:hAnsi="Verdana" w:cs="Arial"/>
          <w:b/>
          <w:lang w:val="es-CO"/>
        </w:rPr>
        <w:t>Determinación de las entidades</w:t>
      </w:r>
      <w:r w:rsidR="00D65644" w:rsidRPr="000F5598">
        <w:rPr>
          <w:rFonts w:ascii="Verdana" w:hAnsi="Verdana" w:cs="Arial"/>
          <w:b/>
          <w:lang w:val="es-CO"/>
        </w:rPr>
        <w:t xml:space="preserve"> con</w:t>
      </w:r>
      <w:r w:rsidRPr="000F5598">
        <w:rPr>
          <w:rFonts w:ascii="Verdana" w:hAnsi="Verdana" w:cs="Arial"/>
          <w:b/>
          <w:lang w:val="es-CO"/>
        </w:rPr>
        <w:t xml:space="preserve"> importancia sistémica</w:t>
      </w:r>
    </w:p>
    <w:p w14:paraId="5722A209" w14:textId="77777777" w:rsidR="00C5395C" w:rsidRDefault="00C5395C" w:rsidP="00C5395C">
      <w:pPr>
        <w:jc w:val="both"/>
        <w:rPr>
          <w:rFonts w:ascii="Verdana" w:hAnsi="Verdana" w:cs="Arial"/>
          <w:b/>
          <w:lang w:val="es-CO"/>
        </w:rPr>
      </w:pPr>
    </w:p>
    <w:p w14:paraId="5D2D69F7" w14:textId="7B57EADE" w:rsidR="00963394" w:rsidRPr="00A81384" w:rsidRDefault="00963394" w:rsidP="00C5395C">
      <w:pPr>
        <w:jc w:val="both"/>
        <w:rPr>
          <w:rFonts w:ascii="Verdana" w:hAnsi="Verdana" w:cs="Arial"/>
          <w:bCs/>
          <w:lang w:val="es-CO"/>
        </w:rPr>
      </w:pPr>
      <w:r w:rsidRPr="00A81384">
        <w:rPr>
          <w:rFonts w:ascii="Verdana" w:hAnsi="Verdana" w:cs="Arial"/>
          <w:bCs/>
          <w:lang w:val="es-CO"/>
        </w:rPr>
        <w:t>2.1.A</w:t>
      </w:r>
      <w:r w:rsidR="00A81384" w:rsidRPr="00A81384">
        <w:rPr>
          <w:rFonts w:ascii="Verdana" w:hAnsi="Verdana" w:cs="Arial"/>
          <w:bCs/>
          <w:lang w:val="es-CO"/>
        </w:rPr>
        <w:t>2.11.</w:t>
      </w:r>
    </w:p>
    <w:p w14:paraId="66AF144D" w14:textId="274F8722" w:rsidR="005861F6" w:rsidRPr="000F5598" w:rsidRDefault="005861F6" w:rsidP="00C5395C">
      <w:pPr>
        <w:jc w:val="both"/>
        <w:rPr>
          <w:rFonts w:ascii="Verdana" w:hAnsi="Verdana" w:cs="Arial"/>
          <w:lang w:val="es-CO"/>
        </w:rPr>
      </w:pPr>
      <w:r w:rsidRPr="000F5598">
        <w:rPr>
          <w:rFonts w:ascii="Verdana" w:hAnsi="Verdana" w:cs="Arial"/>
          <w:lang w:val="es-CO"/>
        </w:rPr>
        <w:t>Una vez establecido el puntaje de sistemicidad de la entidad, la SFC utiliza dos criterios:</w:t>
      </w:r>
    </w:p>
    <w:p w14:paraId="65AAB06D" w14:textId="77777777" w:rsidR="005861F6" w:rsidRPr="000F5598" w:rsidRDefault="005861F6" w:rsidP="005861F6">
      <w:pPr>
        <w:jc w:val="both"/>
        <w:rPr>
          <w:rFonts w:ascii="Verdana" w:hAnsi="Verdana" w:cs="Arial"/>
          <w:lang w:val="es-CO"/>
        </w:rPr>
      </w:pPr>
    </w:p>
    <w:p w14:paraId="603F395C" w14:textId="77777777" w:rsidR="005861F6" w:rsidRPr="000F5598" w:rsidRDefault="005861F6" w:rsidP="005861F6">
      <w:pPr>
        <w:pStyle w:val="Prrafodelista"/>
        <w:numPr>
          <w:ilvl w:val="0"/>
          <w:numId w:val="11"/>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 xml:space="preserve">La metodología Diana de </w:t>
      </w:r>
      <w:proofErr w:type="gramStart"/>
      <w:r w:rsidRPr="000F5598">
        <w:rPr>
          <w:rFonts w:ascii="Verdana" w:eastAsia="Times New Roman" w:hAnsi="Verdana" w:cs="Arial"/>
          <w:sz w:val="20"/>
          <w:szCs w:val="20"/>
          <w:lang w:eastAsia="es-CO"/>
        </w:rPr>
        <w:t>Cluster</w:t>
      </w:r>
      <w:proofErr w:type="gramEnd"/>
      <w:r w:rsidRPr="000F5598">
        <w:rPr>
          <w:rFonts w:ascii="Verdana" w:eastAsia="Times New Roman" w:hAnsi="Verdana" w:cs="Arial"/>
          <w:sz w:val="20"/>
          <w:szCs w:val="20"/>
          <w:lang w:eastAsia="es-CO"/>
        </w:rPr>
        <w:t xml:space="preserve">, </w:t>
      </w:r>
      <w:r w:rsidR="00030618" w:rsidRPr="000F5598">
        <w:rPr>
          <w:rFonts w:ascii="Verdana" w:eastAsia="Times New Roman" w:hAnsi="Verdana" w:cs="Arial"/>
          <w:sz w:val="20"/>
          <w:szCs w:val="20"/>
          <w:lang w:eastAsia="es-CO"/>
        </w:rPr>
        <w:t xml:space="preserve">mediante el </w:t>
      </w:r>
      <w:r w:rsidRPr="000F5598">
        <w:rPr>
          <w:rFonts w:ascii="Verdana" w:eastAsia="Times New Roman" w:hAnsi="Verdana" w:cs="Arial"/>
          <w:sz w:val="20"/>
          <w:szCs w:val="20"/>
          <w:lang w:eastAsia="es-CO"/>
        </w:rPr>
        <w:t xml:space="preserve">cual se identifican dos grupos: i) entidades que clasifican para ser sistémicas y ii) entidades que no clasifican para ser sistémicas. La actualización de los grupos será anual. </w:t>
      </w:r>
      <w:r w:rsidR="005A12C1" w:rsidRPr="000F5598">
        <w:rPr>
          <w:rFonts w:ascii="Verdana" w:eastAsia="Times New Roman" w:hAnsi="Verdana" w:cs="Arial"/>
          <w:sz w:val="20"/>
          <w:szCs w:val="20"/>
          <w:lang w:eastAsia="es-CO"/>
        </w:rPr>
        <w:t xml:space="preserve"> Esta metodología fue seleccionada como resultado de validar las medidas de </w:t>
      </w:r>
      <w:proofErr w:type="spellStart"/>
      <w:r w:rsidR="005A12C1" w:rsidRPr="000F5598">
        <w:rPr>
          <w:rFonts w:ascii="Verdana" w:eastAsia="Times New Roman" w:hAnsi="Verdana" w:cs="Arial"/>
          <w:sz w:val="20"/>
          <w:szCs w:val="20"/>
          <w:lang w:eastAsia="es-CO"/>
        </w:rPr>
        <w:t>connectivity</w:t>
      </w:r>
      <w:proofErr w:type="spellEnd"/>
      <w:r w:rsidR="005A12C1" w:rsidRPr="000F5598">
        <w:rPr>
          <w:rFonts w:ascii="Verdana" w:eastAsia="Times New Roman" w:hAnsi="Verdana" w:cs="Arial"/>
          <w:sz w:val="20"/>
          <w:szCs w:val="20"/>
          <w:lang w:eastAsia="es-CO"/>
        </w:rPr>
        <w:t xml:space="preserve">, </w:t>
      </w:r>
      <w:proofErr w:type="spellStart"/>
      <w:r w:rsidR="005A12C1" w:rsidRPr="000F5598">
        <w:rPr>
          <w:rFonts w:ascii="Verdana" w:eastAsia="Times New Roman" w:hAnsi="Verdana" w:cs="Arial"/>
          <w:sz w:val="20"/>
          <w:szCs w:val="20"/>
          <w:lang w:eastAsia="es-CO"/>
        </w:rPr>
        <w:t>dunn</w:t>
      </w:r>
      <w:proofErr w:type="spellEnd"/>
      <w:r w:rsidR="005A12C1" w:rsidRPr="000F5598">
        <w:rPr>
          <w:rFonts w:ascii="Verdana" w:eastAsia="Times New Roman" w:hAnsi="Verdana" w:cs="Arial"/>
          <w:sz w:val="20"/>
          <w:szCs w:val="20"/>
          <w:lang w:eastAsia="es-CO"/>
        </w:rPr>
        <w:t xml:space="preserve"> y </w:t>
      </w:r>
      <w:proofErr w:type="spellStart"/>
      <w:r w:rsidR="005A12C1" w:rsidRPr="000F5598">
        <w:rPr>
          <w:rFonts w:ascii="Verdana" w:eastAsia="Times New Roman" w:hAnsi="Verdana" w:cs="Arial"/>
          <w:sz w:val="20"/>
          <w:szCs w:val="20"/>
          <w:lang w:eastAsia="es-CO"/>
        </w:rPr>
        <w:t>silhouette</w:t>
      </w:r>
      <w:proofErr w:type="spellEnd"/>
      <w:r w:rsidR="005A12C1" w:rsidRPr="000F5598">
        <w:rPr>
          <w:rFonts w:ascii="Verdana" w:eastAsia="Times New Roman" w:hAnsi="Verdana" w:cs="Arial"/>
          <w:sz w:val="20"/>
          <w:szCs w:val="20"/>
          <w:lang w:eastAsia="es-CO"/>
        </w:rPr>
        <w:t xml:space="preserve">, entre las metodologías de </w:t>
      </w:r>
      <w:proofErr w:type="spellStart"/>
      <w:r w:rsidR="005A12C1" w:rsidRPr="000F5598">
        <w:rPr>
          <w:rFonts w:ascii="Verdana" w:eastAsia="Times New Roman" w:hAnsi="Verdana" w:cs="Arial"/>
          <w:sz w:val="20"/>
          <w:szCs w:val="20"/>
          <w:lang w:eastAsia="es-CO"/>
        </w:rPr>
        <w:t>hierarchical</w:t>
      </w:r>
      <w:proofErr w:type="spellEnd"/>
      <w:r w:rsidR="005A12C1" w:rsidRPr="000F5598">
        <w:rPr>
          <w:rFonts w:ascii="Verdana" w:eastAsia="Times New Roman" w:hAnsi="Verdana" w:cs="Arial"/>
          <w:sz w:val="20"/>
          <w:szCs w:val="20"/>
          <w:lang w:eastAsia="es-CO"/>
        </w:rPr>
        <w:t xml:space="preserve">, </w:t>
      </w:r>
      <w:proofErr w:type="spellStart"/>
      <w:r w:rsidR="005A12C1" w:rsidRPr="000F5598">
        <w:rPr>
          <w:rFonts w:ascii="Verdana" w:eastAsia="Times New Roman" w:hAnsi="Verdana" w:cs="Arial"/>
          <w:sz w:val="20"/>
          <w:szCs w:val="20"/>
          <w:lang w:eastAsia="es-CO"/>
        </w:rPr>
        <w:t>kmeans</w:t>
      </w:r>
      <w:proofErr w:type="spellEnd"/>
      <w:r w:rsidR="005A12C1" w:rsidRPr="000F5598">
        <w:rPr>
          <w:rFonts w:ascii="Verdana" w:eastAsia="Times New Roman" w:hAnsi="Verdana" w:cs="Arial"/>
          <w:sz w:val="20"/>
          <w:szCs w:val="20"/>
          <w:lang w:eastAsia="es-CO"/>
        </w:rPr>
        <w:t xml:space="preserve">, </w:t>
      </w:r>
      <w:proofErr w:type="spellStart"/>
      <w:r w:rsidR="005A12C1" w:rsidRPr="000F5598">
        <w:rPr>
          <w:rFonts w:ascii="Verdana" w:eastAsia="Times New Roman" w:hAnsi="Verdana" w:cs="Arial"/>
          <w:sz w:val="20"/>
          <w:szCs w:val="20"/>
          <w:lang w:eastAsia="es-CO"/>
        </w:rPr>
        <w:t>pam</w:t>
      </w:r>
      <w:proofErr w:type="spellEnd"/>
      <w:r w:rsidR="005A12C1" w:rsidRPr="000F5598">
        <w:rPr>
          <w:rFonts w:ascii="Verdana" w:eastAsia="Times New Roman" w:hAnsi="Verdana" w:cs="Arial"/>
          <w:sz w:val="20"/>
          <w:szCs w:val="20"/>
          <w:lang w:eastAsia="es-CO"/>
        </w:rPr>
        <w:t xml:space="preserve">, diana, clara y </w:t>
      </w:r>
      <w:proofErr w:type="spellStart"/>
      <w:r w:rsidR="005A12C1" w:rsidRPr="000F5598">
        <w:rPr>
          <w:rFonts w:ascii="Verdana" w:eastAsia="Times New Roman" w:hAnsi="Verdana" w:cs="Arial"/>
          <w:sz w:val="20"/>
          <w:szCs w:val="20"/>
          <w:lang w:eastAsia="es-CO"/>
        </w:rPr>
        <w:lastRenderedPageBreak/>
        <w:t>agnes</w:t>
      </w:r>
      <w:proofErr w:type="spellEnd"/>
      <w:r w:rsidR="005A12C1" w:rsidRPr="000F5598">
        <w:rPr>
          <w:rFonts w:ascii="Verdana" w:eastAsia="Times New Roman" w:hAnsi="Verdana" w:cs="Arial"/>
          <w:sz w:val="20"/>
          <w:szCs w:val="20"/>
          <w:lang w:eastAsia="es-CO"/>
        </w:rPr>
        <w:t>, para diferentes tamaños de clúster.</w:t>
      </w:r>
      <w:r w:rsidR="00BF6505" w:rsidRPr="000F5598">
        <w:rPr>
          <w:rFonts w:ascii="Verdana" w:eastAsia="Times New Roman" w:hAnsi="Verdana" w:cs="Arial"/>
          <w:sz w:val="20"/>
          <w:szCs w:val="20"/>
          <w:lang w:eastAsia="es-CO"/>
        </w:rPr>
        <w:t xml:space="preserve"> Como resultado de dicha evaluación, la SFC constató que la metodología escogida preveía la</w:t>
      </w:r>
      <w:r w:rsidR="0019643C" w:rsidRPr="000F5598">
        <w:rPr>
          <w:rFonts w:ascii="Verdana" w:eastAsia="Times New Roman" w:hAnsi="Verdana" w:cs="Arial"/>
          <w:sz w:val="20"/>
          <w:szCs w:val="20"/>
          <w:lang w:eastAsia="es-CO"/>
        </w:rPr>
        <w:t>s</w:t>
      </w:r>
      <w:r w:rsidR="00BF6505" w:rsidRPr="000F5598">
        <w:rPr>
          <w:rFonts w:ascii="Verdana" w:eastAsia="Times New Roman" w:hAnsi="Verdana" w:cs="Arial"/>
          <w:sz w:val="20"/>
          <w:szCs w:val="20"/>
          <w:lang w:eastAsia="es-CO"/>
        </w:rPr>
        <w:t xml:space="preserve"> mejores condiciones de consistencia, homogeneidad y estabilidad. </w:t>
      </w:r>
    </w:p>
    <w:p w14:paraId="7488709C" w14:textId="77777777" w:rsidR="003011FB" w:rsidRPr="000F5598" w:rsidRDefault="003011FB" w:rsidP="003011FB">
      <w:pPr>
        <w:pStyle w:val="Prrafodelista"/>
        <w:spacing w:after="160" w:line="259" w:lineRule="auto"/>
        <w:ind w:left="1080"/>
        <w:jc w:val="both"/>
        <w:rPr>
          <w:rFonts w:ascii="Verdana" w:eastAsia="Times New Roman" w:hAnsi="Verdana" w:cs="Arial"/>
          <w:sz w:val="20"/>
          <w:szCs w:val="20"/>
          <w:lang w:eastAsia="es-CO"/>
        </w:rPr>
      </w:pPr>
    </w:p>
    <w:p w14:paraId="315509FB" w14:textId="77777777" w:rsidR="005861F6" w:rsidRPr="000F5598" w:rsidRDefault="005861F6" w:rsidP="005861F6">
      <w:pPr>
        <w:pStyle w:val="Prrafodelista"/>
        <w:numPr>
          <w:ilvl w:val="0"/>
          <w:numId w:val="11"/>
        </w:numPr>
        <w:spacing w:after="160" w:line="259" w:lineRule="auto"/>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Puntuación total por entidad igua</w:t>
      </w:r>
      <w:r w:rsidR="000916AC" w:rsidRPr="000F5598">
        <w:rPr>
          <w:rFonts w:ascii="Verdana" w:eastAsia="Times New Roman" w:hAnsi="Verdana" w:cs="Arial"/>
          <w:sz w:val="20"/>
          <w:szCs w:val="20"/>
          <w:lang w:eastAsia="es-CO"/>
        </w:rPr>
        <w:t xml:space="preserve">l o superior a </w:t>
      </w:r>
      <w:r w:rsidR="00030618" w:rsidRPr="000F5598">
        <w:rPr>
          <w:rFonts w:ascii="Verdana" w:eastAsia="Times New Roman" w:hAnsi="Verdana" w:cs="Arial"/>
          <w:sz w:val="20"/>
          <w:szCs w:val="20"/>
          <w:lang w:eastAsia="es-CO"/>
        </w:rPr>
        <w:t>6</w:t>
      </w:r>
      <w:r w:rsidR="000916AC" w:rsidRPr="000F5598">
        <w:rPr>
          <w:rFonts w:ascii="Verdana" w:eastAsia="Times New Roman" w:hAnsi="Verdana" w:cs="Arial"/>
          <w:sz w:val="20"/>
          <w:szCs w:val="20"/>
          <w:lang w:eastAsia="es-CO"/>
        </w:rPr>
        <w:t>.</w:t>
      </w:r>
      <w:r w:rsidR="00030618" w:rsidRPr="000F5598">
        <w:rPr>
          <w:rFonts w:ascii="Verdana" w:eastAsia="Times New Roman" w:hAnsi="Verdana" w:cs="Arial"/>
          <w:sz w:val="20"/>
          <w:szCs w:val="20"/>
          <w:lang w:eastAsia="es-CO"/>
        </w:rPr>
        <w:t>45</w:t>
      </w:r>
      <w:r w:rsidR="000916AC" w:rsidRPr="000F5598">
        <w:rPr>
          <w:rFonts w:ascii="Verdana" w:eastAsia="Times New Roman" w:hAnsi="Verdana" w:cs="Arial"/>
          <w:sz w:val="20"/>
          <w:szCs w:val="20"/>
          <w:lang w:eastAsia="es-CO"/>
        </w:rPr>
        <w:t>%</w:t>
      </w:r>
    </w:p>
    <w:p w14:paraId="266CBF06" w14:textId="77777777" w:rsidR="005861F6" w:rsidRPr="000F5598" w:rsidRDefault="005861F6" w:rsidP="005861F6">
      <w:pPr>
        <w:pStyle w:val="Prrafodelista"/>
        <w:spacing w:after="160" w:line="259" w:lineRule="auto"/>
        <w:jc w:val="both"/>
        <w:rPr>
          <w:rFonts w:ascii="Verdana" w:eastAsia="Times New Roman" w:hAnsi="Verdana" w:cs="Arial"/>
          <w:sz w:val="20"/>
          <w:szCs w:val="20"/>
          <w:lang w:eastAsia="es-CO"/>
        </w:rPr>
      </w:pPr>
    </w:p>
    <w:p w14:paraId="47C323D9" w14:textId="6531C45E" w:rsidR="00A81384" w:rsidRDefault="00A81384" w:rsidP="005861F6">
      <w:pPr>
        <w:pStyle w:val="Prrafodelista"/>
        <w:spacing w:after="160" w:line="259" w:lineRule="auto"/>
        <w:ind w:left="0"/>
        <w:jc w:val="both"/>
        <w:rPr>
          <w:rFonts w:ascii="Verdana" w:eastAsia="Times New Roman" w:hAnsi="Verdana" w:cs="Arial"/>
          <w:sz w:val="20"/>
          <w:szCs w:val="20"/>
          <w:lang w:eastAsia="es-CO"/>
        </w:rPr>
      </w:pPr>
      <w:r>
        <w:rPr>
          <w:rFonts w:ascii="Verdana" w:eastAsia="Times New Roman" w:hAnsi="Verdana" w:cs="Arial"/>
          <w:sz w:val="20"/>
          <w:szCs w:val="20"/>
          <w:lang w:eastAsia="es-CO"/>
        </w:rPr>
        <w:t>2.1.A2.12</w:t>
      </w:r>
      <w:r w:rsidR="0000711E">
        <w:rPr>
          <w:rFonts w:ascii="Verdana" w:eastAsia="Times New Roman" w:hAnsi="Verdana" w:cs="Arial"/>
          <w:sz w:val="20"/>
          <w:szCs w:val="20"/>
          <w:lang w:eastAsia="es-CO"/>
        </w:rPr>
        <w:t>.</w:t>
      </w:r>
    </w:p>
    <w:p w14:paraId="34E8FEAE" w14:textId="31273258" w:rsidR="002E658A" w:rsidRPr="000F5598" w:rsidRDefault="002E658A" w:rsidP="005861F6">
      <w:pPr>
        <w:pStyle w:val="Prrafodelista"/>
        <w:spacing w:after="160" w:line="259" w:lineRule="auto"/>
        <w:ind w:left="0"/>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 xml:space="preserve">Teniendo en cuenta lo anterior, serán entidades sistémicas todas aquellas que cumplan con los dos criterios señalados anteriormente, es decir, que hagan parte del primer grupo en el </w:t>
      </w:r>
      <w:proofErr w:type="gramStart"/>
      <w:r w:rsidRPr="000F5598">
        <w:rPr>
          <w:rFonts w:ascii="Verdana" w:eastAsia="Times New Roman" w:hAnsi="Verdana" w:cs="Arial"/>
          <w:sz w:val="20"/>
          <w:szCs w:val="20"/>
          <w:lang w:eastAsia="es-CO"/>
        </w:rPr>
        <w:t>Cluster</w:t>
      </w:r>
      <w:proofErr w:type="gramEnd"/>
      <w:r w:rsidRPr="000F5598">
        <w:rPr>
          <w:rFonts w:ascii="Verdana" w:eastAsia="Times New Roman" w:hAnsi="Verdana" w:cs="Arial"/>
          <w:sz w:val="20"/>
          <w:szCs w:val="20"/>
          <w:lang w:eastAsia="es-CO"/>
        </w:rPr>
        <w:t xml:space="preserve"> y obtenga una puntuación igual o superior a 645 pb.  </w:t>
      </w:r>
    </w:p>
    <w:p w14:paraId="697F2736" w14:textId="77777777" w:rsidR="00DF15DA" w:rsidRDefault="00DF15DA" w:rsidP="005861F6">
      <w:pPr>
        <w:pStyle w:val="Prrafodelista"/>
        <w:spacing w:after="160" w:line="259" w:lineRule="auto"/>
        <w:ind w:left="0"/>
        <w:jc w:val="both"/>
        <w:rPr>
          <w:rFonts w:ascii="Verdana" w:eastAsia="Times New Roman" w:hAnsi="Verdana" w:cs="Arial"/>
          <w:sz w:val="20"/>
          <w:szCs w:val="20"/>
          <w:lang w:eastAsia="es-CO"/>
        </w:rPr>
      </w:pPr>
    </w:p>
    <w:p w14:paraId="4E101FD4" w14:textId="77777777" w:rsidR="002E658A" w:rsidRPr="0000711E" w:rsidRDefault="002E658A" w:rsidP="0000711E">
      <w:pPr>
        <w:spacing w:after="160" w:line="259" w:lineRule="auto"/>
        <w:jc w:val="both"/>
        <w:rPr>
          <w:rFonts w:ascii="Verdana" w:hAnsi="Verdana" w:cs="Arial"/>
          <w:b/>
        </w:rPr>
      </w:pPr>
      <w:r w:rsidRPr="0000711E">
        <w:rPr>
          <w:rFonts w:ascii="Verdana" w:hAnsi="Verdana" w:cs="Arial"/>
          <w:b/>
        </w:rPr>
        <w:t>Publicación de información y notificación</w:t>
      </w:r>
    </w:p>
    <w:p w14:paraId="5BA1E05B" w14:textId="2434E055" w:rsidR="002E658A" w:rsidRPr="0000711E" w:rsidRDefault="0000711E" w:rsidP="00324886">
      <w:pPr>
        <w:jc w:val="both"/>
        <w:rPr>
          <w:rFonts w:ascii="Verdana" w:hAnsi="Verdana" w:cs="Arial"/>
          <w:bCs/>
        </w:rPr>
      </w:pPr>
      <w:r w:rsidRPr="0000711E">
        <w:rPr>
          <w:rFonts w:ascii="Verdana" w:hAnsi="Verdana" w:cs="Arial"/>
          <w:bCs/>
        </w:rPr>
        <w:t>2.1.A2.13.</w:t>
      </w:r>
    </w:p>
    <w:p w14:paraId="6C28E2D1" w14:textId="6463FAE9" w:rsidR="002E658A" w:rsidRPr="000F5598" w:rsidRDefault="002E658A" w:rsidP="00740BF7">
      <w:pPr>
        <w:pStyle w:val="Prrafodelista"/>
        <w:spacing w:after="160" w:line="259" w:lineRule="auto"/>
        <w:ind w:left="0"/>
        <w:jc w:val="both"/>
        <w:rPr>
          <w:rFonts w:ascii="Verdana" w:eastAsia="Times New Roman" w:hAnsi="Verdana" w:cs="Arial"/>
          <w:sz w:val="20"/>
          <w:szCs w:val="20"/>
          <w:lang w:eastAsia="es-CO"/>
        </w:rPr>
      </w:pPr>
      <w:r w:rsidRPr="000F5598">
        <w:rPr>
          <w:rFonts w:ascii="Verdana" w:eastAsia="Times New Roman" w:hAnsi="Verdana" w:cs="Arial"/>
          <w:sz w:val="20"/>
          <w:szCs w:val="20"/>
          <w:lang w:eastAsia="es-CO"/>
        </w:rPr>
        <w:t xml:space="preserve">La SFC publicará las puntuaciones de los establecimientos de crédito identificados como entidades </w:t>
      </w:r>
      <w:r w:rsidR="00D65644" w:rsidRPr="000F5598">
        <w:rPr>
          <w:rFonts w:ascii="Verdana" w:eastAsia="Times New Roman" w:hAnsi="Verdana" w:cs="Arial"/>
          <w:sz w:val="20"/>
          <w:szCs w:val="20"/>
          <w:lang w:eastAsia="es-CO"/>
        </w:rPr>
        <w:t xml:space="preserve">con </w:t>
      </w:r>
      <w:r w:rsidRPr="000F5598">
        <w:rPr>
          <w:rFonts w:ascii="Verdana" w:eastAsia="Times New Roman" w:hAnsi="Verdana" w:cs="Arial"/>
          <w:sz w:val="20"/>
          <w:szCs w:val="20"/>
          <w:lang w:eastAsia="es-CO"/>
        </w:rPr>
        <w:t>importancia sistémica a más tardar en noviembre de cada año</w:t>
      </w:r>
      <w:r w:rsidR="004B1E12" w:rsidRPr="000F5598">
        <w:rPr>
          <w:rFonts w:ascii="Verdana" w:eastAsia="Times New Roman" w:hAnsi="Verdana" w:cs="Arial"/>
          <w:sz w:val="20"/>
          <w:szCs w:val="20"/>
          <w:lang w:eastAsia="es-CO"/>
        </w:rPr>
        <w:t xml:space="preserve"> con </w:t>
      </w:r>
      <w:r w:rsidR="00417E90">
        <w:rPr>
          <w:rFonts w:ascii="Verdana" w:eastAsia="Times New Roman" w:hAnsi="Verdana" w:cs="Arial"/>
          <w:sz w:val="20"/>
          <w:szCs w:val="20"/>
          <w:lang w:eastAsia="es-CO"/>
        </w:rPr>
        <w:t xml:space="preserve">la </w:t>
      </w:r>
      <w:r w:rsidR="004B1E12" w:rsidRPr="000F5598">
        <w:rPr>
          <w:rFonts w:ascii="Verdana" w:eastAsia="Times New Roman" w:hAnsi="Verdana" w:cs="Arial"/>
          <w:sz w:val="20"/>
          <w:szCs w:val="20"/>
          <w:lang w:eastAsia="es-CO"/>
        </w:rPr>
        <w:t xml:space="preserve">información </w:t>
      </w:r>
      <w:r w:rsidR="00417E90">
        <w:rPr>
          <w:rFonts w:ascii="Verdana" w:eastAsia="Times New Roman" w:hAnsi="Verdana" w:cs="Arial"/>
          <w:sz w:val="20"/>
          <w:szCs w:val="20"/>
          <w:lang w:eastAsia="es-CO"/>
        </w:rPr>
        <w:t xml:space="preserve">del cierre del mes de </w:t>
      </w:r>
      <w:r w:rsidR="004B1E12" w:rsidRPr="000F5598">
        <w:rPr>
          <w:rFonts w:ascii="Verdana" w:eastAsia="Times New Roman" w:hAnsi="Verdana" w:cs="Arial"/>
          <w:sz w:val="20"/>
          <w:szCs w:val="20"/>
          <w:lang w:eastAsia="es-CO"/>
        </w:rPr>
        <w:t xml:space="preserve">junio del mismo año. </w:t>
      </w:r>
    </w:p>
    <w:p w14:paraId="54E558CC" w14:textId="3DBCC907" w:rsidR="00EF7C2B" w:rsidRDefault="00EF7C2B" w:rsidP="00740BF7">
      <w:pPr>
        <w:jc w:val="both"/>
        <w:rPr>
          <w:rFonts w:ascii="Verdana" w:hAnsi="Verdana" w:cs="Arial"/>
          <w:lang w:val="es-CO"/>
        </w:rPr>
      </w:pPr>
      <w:r>
        <w:rPr>
          <w:rFonts w:ascii="Verdana" w:hAnsi="Verdana" w:cs="Arial"/>
          <w:lang w:val="es-CO"/>
        </w:rPr>
        <w:t>2.1.A2.14.</w:t>
      </w:r>
    </w:p>
    <w:p w14:paraId="77924B02" w14:textId="5AE9C2DC" w:rsidR="00740BF7" w:rsidRPr="000F5598" w:rsidRDefault="002E658A" w:rsidP="00740BF7">
      <w:pPr>
        <w:jc w:val="both"/>
        <w:rPr>
          <w:rFonts w:ascii="Verdana" w:hAnsi="Verdana" w:cs="Arial"/>
          <w:lang w:val="es-CO"/>
        </w:rPr>
      </w:pPr>
      <w:r w:rsidRPr="000F5598">
        <w:rPr>
          <w:rFonts w:ascii="Verdana" w:hAnsi="Verdana" w:cs="Arial"/>
          <w:lang w:val="es-CO"/>
        </w:rPr>
        <w:t xml:space="preserve">Los establecimientos de crédito que sean considerados como </w:t>
      </w:r>
      <w:r w:rsidR="005A12C1" w:rsidRPr="000F5598">
        <w:rPr>
          <w:rFonts w:ascii="Verdana" w:hAnsi="Verdana" w:cs="Arial"/>
          <w:lang w:val="es-CO"/>
        </w:rPr>
        <w:t>EIS</w:t>
      </w:r>
      <w:r w:rsidRPr="000F5598">
        <w:rPr>
          <w:rFonts w:ascii="Verdana" w:hAnsi="Verdana" w:cs="Arial"/>
          <w:lang w:val="es-CO"/>
        </w:rPr>
        <w:t xml:space="preserve"> serán notificados </w:t>
      </w:r>
      <w:r w:rsidR="005226DC" w:rsidRPr="000F5598">
        <w:rPr>
          <w:rFonts w:ascii="Verdana" w:hAnsi="Verdana" w:cs="Arial"/>
          <w:lang w:val="es-CO"/>
        </w:rPr>
        <w:t xml:space="preserve">de forma individual </w:t>
      </w:r>
      <w:r w:rsidR="005A12C1" w:rsidRPr="000F5598">
        <w:rPr>
          <w:rFonts w:ascii="Verdana" w:hAnsi="Verdana" w:cs="Arial"/>
          <w:lang w:val="es-CO"/>
        </w:rPr>
        <w:t>por la SFC, especificando el plazo para dar por cumplimiento al colchón de que trata el artículo 2.1.1.4.3 del Decreto 2555 de 2010</w:t>
      </w:r>
      <w:r w:rsidRPr="000F5598">
        <w:rPr>
          <w:rFonts w:ascii="Verdana" w:hAnsi="Verdana" w:cs="Arial"/>
          <w:lang w:val="es-CO"/>
        </w:rPr>
        <w:t>.</w:t>
      </w:r>
    </w:p>
    <w:p w14:paraId="425478E6" w14:textId="77777777" w:rsidR="005A12C1" w:rsidRDefault="005A12C1" w:rsidP="00740BF7">
      <w:pPr>
        <w:jc w:val="both"/>
        <w:rPr>
          <w:rFonts w:ascii="Verdana" w:hAnsi="Verdana" w:cs="Arial"/>
          <w:lang w:val="es-CO"/>
        </w:rPr>
      </w:pPr>
    </w:p>
    <w:p w14:paraId="4FA5E360" w14:textId="031B1EA5" w:rsidR="00EF7C2B" w:rsidRPr="000F5598" w:rsidRDefault="00EF7C2B" w:rsidP="00740BF7">
      <w:pPr>
        <w:jc w:val="both"/>
        <w:rPr>
          <w:rFonts w:ascii="Verdana" w:hAnsi="Verdana" w:cs="Arial"/>
          <w:lang w:val="es-CO"/>
        </w:rPr>
      </w:pPr>
      <w:r>
        <w:rPr>
          <w:rFonts w:ascii="Verdana" w:hAnsi="Verdana" w:cs="Arial"/>
          <w:lang w:val="es-CO"/>
        </w:rPr>
        <w:t>2.1.A2.15.</w:t>
      </w:r>
    </w:p>
    <w:p w14:paraId="54DEBDA3" w14:textId="78EE0055" w:rsidR="004C0785" w:rsidRPr="000F5598" w:rsidRDefault="005A12C1" w:rsidP="009B0367">
      <w:pPr>
        <w:jc w:val="both"/>
        <w:rPr>
          <w:rFonts w:ascii="Verdana" w:hAnsi="Verdana" w:cs="Arial"/>
        </w:rPr>
      </w:pPr>
      <w:r w:rsidRPr="000F5598">
        <w:rPr>
          <w:rFonts w:ascii="Verdana" w:hAnsi="Verdana" w:cs="Arial"/>
          <w:lang w:val="es-CO"/>
        </w:rPr>
        <w:t>Las entidades que dejen de ser consideradas como EIS no tiene</w:t>
      </w:r>
      <w:r w:rsidR="004D296E" w:rsidRPr="000F5598">
        <w:rPr>
          <w:rFonts w:ascii="Verdana" w:hAnsi="Verdana" w:cs="Arial"/>
          <w:lang w:val="es-CO"/>
        </w:rPr>
        <w:t>n</w:t>
      </w:r>
      <w:r w:rsidRPr="000F5598">
        <w:rPr>
          <w:rFonts w:ascii="Verdana" w:hAnsi="Verdana" w:cs="Arial"/>
          <w:lang w:val="es-CO"/>
        </w:rPr>
        <w:t xml:space="preserve"> la obligación de </w:t>
      </w:r>
      <w:r w:rsidR="007874AC" w:rsidRPr="000F5598">
        <w:rPr>
          <w:rFonts w:ascii="Verdana" w:hAnsi="Verdana" w:cs="Arial"/>
          <w:lang w:val="es-CO"/>
        </w:rPr>
        <w:t>mantener</w:t>
      </w:r>
      <w:r w:rsidRPr="000F5598">
        <w:rPr>
          <w:rFonts w:ascii="Verdana" w:hAnsi="Verdana" w:cs="Arial"/>
          <w:lang w:val="es-CO"/>
        </w:rPr>
        <w:t xml:space="preserve"> el colchón sistémico señalado en el artículo 2.1.1.4.3 del Decreto 2555 de 2010, a partir </w:t>
      </w:r>
      <w:r w:rsidR="004D296E" w:rsidRPr="000F5598">
        <w:rPr>
          <w:rFonts w:ascii="Verdana" w:hAnsi="Verdana" w:cs="Arial"/>
          <w:lang w:val="es-CO"/>
        </w:rPr>
        <w:t>de la fecha</w:t>
      </w:r>
      <w:r w:rsidRPr="000F5598">
        <w:rPr>
          <w:rFonts w:ascii="Verdana" w:hAnsi="Verdana" w:cs="Arial"/>
          <w:lang w:val="es-CO"/>
        </w:rPr>
        <w:t xml:space="preserve"> </w:t>
      </w:r>
      <w:r w:rsidR="004D296E" w:rsidRPr="000F5598">
        <w:rPr>
          <w:rFonts w:ascii="Verdana" w:hAnsi="Verdana" w:cs="Arial"/>
          <w:lang w:val="es-CO"/>
        </w:rPr>
        <w:t xml:space="preserve">de </w:t>
      </w:r>
      <w:r w:rsidRPr="000F5598">
        <w:rPr>
          <w:rFonts w:ascii="Verdana" w:hAnsi="Verdana" w:cs="Arial"/>
          <w:lang w:val="es-CO"/>
        </w:rPr>
        <w:t>la publicación del listado por parte de la SFC.</w:t>
      </w:r>
      <w:r w:rsidR="004C0785" w:rsidRPr="000F5598">
        <w:rPr>
          <w:rFonts w:ascii="Verdana" w:hAnsi="Verdana" w:cs="Arial"/>
          <w:lang w:val="es-CO"/>
        </w:rPr>
        <w:t xml:space="preserve"> </w:t>
      </w:r>
      <w:r w:rsidR="004D296E" w:rsidRPr="000F5598">
        <w:rPr>
          <w:rFonts w:ascii="Verdana" w:hAnsi="Verdana" w:cs="Arial"/>
          <w:lang w:val="es-CO"/>
        </w:rPr>
        <w:t xml:space="preserve">Por lo tanto, las entidades que siendo EIS dejen de serlo podrán desacumular su capital conforme a las normas vigentes. </w:t>
      </w:r>
      <w:r w:rsidR="004C0785" w:rsidRPr="000F5598">
        <w:rPr>
          <w:rFonts w:ascii="Verdana" w:hAnsi="Verdana" w:cs="Arial"/>
        </w:rPr>
        <w:t xml:space="preserve">En tales eventos </w:t>
      </w:r>
      <w:r w:rsidR="00C85557" w:rsidRPr="000F5598">
        <w:rPr>
          <w:rFonts w:ascii="Verdana" w:hAnsi="Verdana" w:cs="Arial"/>
        </w:rPr>
        <w:t xml:space="preserve">podrán </w:t>
      </w:r>
      <w:r w:rsidR="004C0785" w:rsidRPr="000F5598">
        <w:rPr>
          <w:rFonts w:ascii="Verdana" w:hAnsi="Verdana" w:cs="Arial"/>
        </w:rPr>
        <w:t xml:space="preserve">enviar </w:t>
      </w:r>
      <w:r w:rsidR="00C85557" w:rsidRPr="000F5598">
        <w:rPr>
          <w:rFonts w:ascii="Verdana" w:hAnsi="Verdana" w:cs="Arial"/>
        </w:rPr>
        <w:t xml:space="preserve">una comunicación a la SFC informando su decisión de desacumular el colchón, </w:t>
      </w:r>
      <w:r w:rsidR="004C0785" w:rsidRPr="000F5598">
        <w:rPr>
          <w:rFonts w:ascii="Verdana" w:hAnsi="Verdana" w:cs="Arial"/>
        </w:rPr>
        <w:t>con la indicación de los mecanismos establecidos</w:t>
      </w:r>
      <w:r w:rsidR="00940622" w:rsidRPr="000F5598">
        <w:rPr>
          <w:rFonts w:ascii="Verdana" w:hAnsi="Verdana" w:cs="Arial"/>
        </w:rPr>
        <w:t xml:space="preserve">, </w:t>
      </w:r>
      <w:r w:rsidR="004C0785" w:rsidRPr="000F5598">
        <w:rPr>
          <w:rFonts w:ascii="Verdana" w:hAnsi="Verdana" w:cs="Arial"/>
        </w:rPr>
        <w:t>el plazo en el cual se completará dicho proceso</w:t>
      </w:r>
      <w:r w:rsidR="00940622" w:rsidRPr="000F5598">
        <w:rPr>
          <w:rFonts w:ascii="Verdana" w:hAnsi="Verdana" w:cs="Arial"/>
        </w:rPr>
        <w:t xml:space="preserve"> y una justificación de la suficiencia de su capital después del mismo</w:t>
      </w:r>
      <w:r w:rsidR="004C0785" w:rsidRPr="000F5598">
        <w:rPr>
          <w:rFonts w:ascii="Verdana" w:hAnsi="Verdana" w:cs="Arial"/>
        </w:rPr>
        <w:t>.</w:t>
      </w:r>
      <w:r w:rsidR="009B0367">
        <w:rPr>
          <w:rFonts w:ascii="Verdana" w:hAnsi="Verdana" w:cs="Arial"/>
        </w:rPr>
        <w:t xml:space="preserve"> </w:t>
      </w:r>
      <w:r w:rsidR="004C0785" w:rsidRPr="000F5598">
        <w:rPr>
          <w:rFonts w:ascii="Verdana" w:hAnsi="Verdana" w:cs="Arial"/>
        </w:rPr>
        <w:t>Lo anterior sin perjuicio de las medidas de supervisión que considere apropiadas adoptar la SFC.</w:t>
      </w:r>
    </w:p>
    <w:p w14:paraId="17559D59" w14:textId="77777777" w:rsidR="004C0785" w:rsidRPr="000F5598" w:rsidRDefault="004C0785" w:rsidP="00740BF7">
      <w:pPr>
        <w:jc w:val="both"/>
        <w:rPr>
          <w:rFonts w:ascii="Verdana" w:hAnsi="Verdana" w:cs="Arial"/>
          <w:lang w:val="es-CO"/>
        </w:rPr>
      </w:pPr>
    </w:p>
    <w:sectPr w:rsidR="004C0785" w:rsidRPr="000F5598" w:rsidSect="00DF15DA">
      <w:headerReference w:type="default" r:id="rId11"/>
      <w:headerReference w:type="first" r:id="rId12"/>
      <w:footerReference w:type="first" r:id="rId13"/>
      <w:pgSz w:w="12242" w:h="18722" w:code="14"/>
      <w:pgMar w:top="1418" w:right="1418" w:bottom="1418" w:left="1418" w:header="902"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4DC6C" w14:textId="77777777" w:rsidR="00B0350A" w:rsidRDefault="00B0350A">
      <w:r>
        <w:separator/>
      </w:r>
    </w:p>
  </w:endnote>
  <w:endnote w:type="continuationSeparator" w:id="0">
    <w:p w14:paraId="3925D1CD" w14:textId="77777777" w:rsidR="00B0350A" w:rsidRDefault="00B0350A">
      <w:r>
        <w:continuationSeparator/>
      </w:r>
    </w:p>
  </w:endnote>
  <w:endnote w:type="continuationNotice" w:id="1">
    <w:p w14:paraId="26ABBEDF" w14:textId="77777777" w:rsidR="00B0350A" w:rsidRDefault="00B03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vantGarde Bk BT">
    <w:altName w:val="Calibri"/>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29188" w14:textId="77777777" w:rsidR="00DF15DA" w:rsidRPr="00DF15DA" w:rsidRDefault="00DF15DA" w:rsidP="00DF15DA">
    <w:pPr>
      <w:pStyle w:val="Piedepgina"/>
      <w:tabs>
        <w:tab w:val="clear" w:pos="8504"/>
        <w:tab w:val="right" w:pos="9356"/>
      </w:tabs>
      <w:rPr>
        <w:b/>
      </w:rPr>
    </w:pPr>
    <w:r w:rsidRPr="00DF15DA">
      <w:rPr>
        <w:b/>
      </w:rPr>
      <w:t xml:space="preserve">CIRCULAR EXTERNA      </w:t>
    </w:r>
    <w:r>
      <w:rPr>
        <w:b/>
      </w:rPr>
      <w:t xml:space="preserve">   </w:t>
    </w:r>
    <w:r w:rsidRPr="00DF15DA">
      <w:rPr>
        <w:b/>
      </w:rPr>
      <w:t xml:space="preserve">  DE 2019</w:t>
    </w:r>
    <w:r w:rsidRPr="00DF15DA">
      <w:rPr>
        <w:b/>
      </w:rPr>
      <w:tab/>
    </w:r>
    <w:r w:rsidRPr="00DF15DA">
      <w:rPr>
        <w:b/>
      </w:rPr>
      <w:tab/>
    </w:r>
    <w:r>
      <w:rPr>
        <w:b/>
      </w:rPr>
      <w:t xml:space="preserve">             </w:t>
    </w:r>
    <w:r w:rsidRPr="00DF15DA">
      <w:rPr>
        <w:b/>
      </w:rPr>
      <w:t>DICIEMBRE DE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F50F" w14:textId="77777777" w:rsidR="00B0350A" w:rsidRDefault="00B0350A">
      <w:r>
        <w:separator/>
      </w:r>
    </w:p>
  </w:footnote>
  <w:footnote w:type="continuationSeparator" w:id="0">
    <w:p w14:paraId="5BA857A3" w14:textId="77777777" w:rsidR="00B0350A" w:rsidRDefault="00B0350A">
      <w:r>
        <w:continuationSeparator/>
      </w:r>
    </w:p>
  </w:footnote>
  <w:footnote w:type="continuationNotice" w:id="1">
    <w:p w14:paraId="2B9041F8" w14:textId="77777777" w:rsidR="00B0350A" w:rsidRDefault="00B03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5FFF" w14:textId="77777777" w:rsidR="004E161E" w:rsidRPr="00CE2095" w:rsidRDefault="004E161E" w:rsidP="004E161E">
    <w:pPr>
      <w:pStyle w:val="Encabezado"/>
      <w:jc w:val="center"/>
      <w:rPr>
        <w:rFonts w:ascii="Arial" w:hAnsi="Arial" w:cs="Arial"/>
        <w:b/>
        <w:sz w:val="24"/>
        <w:szCs w:val="24"/>
      </w:rPr>
    </w:pPr>
    <w:r w:rsidRPr="00CE2095">
      <w:rPr>
        <w:rFonts w:ascii="Arial" w:hAnsi="Arial" w:cs="Arial"/>
        <w:b/>
        <w:sz w:val="24"/>
        <w:szCs w:val="24"/>
      </w:rPr>
      <w:t>SUPERINTENDENCIA FINANCIERA DE COLOMBIA</w:t>
    </w:r>
  </w:p>
  <w:p w14:paraId="0AF1FD8B" w14:textId="2A66E622" w:rsidR="00771346" w:rsidRPr="004E161E" w:rsidRDefault="00771346" w:rsidP="004E161E">
    <w:pPr>
      <w:pStyle w:val="Encabezado"/>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293B" w14:textId="77777777" w:rsidR="004E161E" w:rsidRPr="00CE2095" w:rsidRDefault="004E161E" w:rsidP="004E161E">
    <w:pPr>
      <w:pStyle w:val="Encabezado"/>
      <w:jc w:val="center"/>
      <w:rPr>
        <w:rFonts w:ascii="Arial" w:hAnsi="Arial" w:cs="Arial"/>
        <w:b/>
        <w:sz w:val="24"/>
        <w:szCs w:val="24"/>
      </w:rPr>
    </w:pPr>
    <w:r w:rsidRPr="00CE2095">
      <w:rPr>
        <w:rFonts w:ascii="Arial" w:hAnsi="Arial" w:cs="Arial"/>
        <w:b/>
        <w:sz w:val="24"/>
        <w:szCs w:val="24"/>
      </w:rPr>
      <w:t>SUPERINTENDENCIA FINANCIERA DE COLOMBIA</w:t>
    </w:r>
  </w:p>
  <w:p w14:paraId="4FE59705" w14:textId="77777777" w:rsidR="004E161E" w:rsidRPr="004E161E" w:rsidRDefault="004E161E" w:rsidP="004E161E">
    <w:pPr>
      <w:pStyle w:val="Encabezado"/>
      <w:jc w:val="center"/>
      <w:rPr>
        <w:rFonts w:ascii="AvantGarde Bk BT" w:hAnsi="AvantGarde Bk BT"/>
        <w:sz w:val="18"/>
        <w:szCs w:val="18"/>
      </w:rPr>
    </w:pPr>
  </w:p>
  <w:p w14:paraId="35DF8BCF" w14:textId="77777777" w:rsidR="004E161E" w:rsidRPr="004E161E" w:rsidRDefault="00072DD8" w:rsidP="004E161E">
    <w:pPr>
      <w:pStyle w:val="Encabezado"/>
      <w:rPr>
        <w:rFonts w:ascii="Arial" w:hAnsi="Arial"/>
        <w:b/>
        <w:sz w:val="18"/>
        <w:szCs w:val="18"/>
      </w:rPr>
    </w:pPr>
    <w:r>
      <w:rPr>
        <w:rFonts w:ascii="Arial" w:hAnsi="Arial"/>
        <w:b/>
        <w:sz w:val="18"/>
        <w:szCs w:val="18"/>
      </w:rPr>
      <w:t>CAPITULO XIII – 16 MARGEN DE SOLVENCIA Y OTROS REQUERIMIENTOS DE PATRIMONIO</w:t>
    </w:r>
  </w:p>
  <w:p w14:paraId="5C035ABD" w14:textId="77777777" w:rsidR="00771346" w:rsidRPr="004E161E" w:rsidRDefault="004E161E" w:rsidP="004E161E">
    <w:pPr>
      <w:pStyle w:val="Encabezado"/>
      <w:rPr>
        <w:sz w:val="18"/>
        <w:szCs w:val="18"/>
      </w:rPr>
    </w:pPr>
    <w:r w:rsidRPr="004E161E">
      <w:rPr>
        <w:rFonts w:ascii="Arial" w:hAnsi="Arial"/>
        <w:b/>
        <w:sz w:val="18"/>
        <w:szCs w:val="18"/>
      </w:rPr>
      <w:t xml:space="preserve">Página    </w:t>
    </w:r>
    <w:r>
      <w:rPr>
        <w:rFonts w:ascii="Arial" w:hAnsi="Arial"/>
        <w:b/>
        <w:sz w:val="18"/>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03D45"/>
    <w:multiLevelType w:val="multilevel"/>
    <w:tmpl w:val="FF0AC8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41113A2"/>
    <w:multiLevelType w:val="multilevel"/>
    <w:tmpl w:val="FF0AC8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5A029AD"/>
    <w:multiLevelType w:val="hybridMultilevel"/>
    <w:tmpl w:val="E0A019F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2D0723AA"/>
    <w:multiLevelType w:val="hybridMultilevel"/>
    <w:tmpl w:val="198C80D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C81C74"/>
    <w:multiLevelType w:val="hybridMultilevel"/>
    <w:tmpl w:val="609A74C0"/>
    <w:lvl w:ilvl="0" w:tplc="C3980F90">
      <w:start w:val="12"/>
      <w:numFmt w:val="bullet"/>
      <w:lvlText w:val=""/>
      <w:lvlJc w:val="left"/>
      <w:pPr>
        <w:ind w:left="405" w:hanging="360"/>
      </w:pPr>
      <w:rPr>
        <w:rFonts w:ascii="Symbol" w:eastAsia="Calibri" w:hAnsi="Symbol" w:cs="Arial"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5" w15:restartNumberingAfterBreak="0">
    <w:nsid w:val="3DCB44D7"/>
    <w:multiLevelType w:val="hybridMultilevel"/>
    <w:tmpl w:val="82F6BC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818171C"/>
    <w:multiLevelType w:val="hybridMultilevel"/>
    <w:tmpl w:val="A842986A"/>
    <w:lvl w:ilvl="0" w:tplc="B748FB48">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49C14495"/>
    <w:multiLevelType w:val="hybridMultilevel"/>
    <w:tmpl w:val="00C4D044"/>
    <w:lvl w:ilvl="0" w:tplc="17AECB9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E6F3422"/>
    <w:multiLevelType w:val="hybridMultilevel"/>
    <w:tmpl w:val="C442C66A"/>
    <w:lvl w:ilvl="0" w:tplc="B06CBB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E86B8B"/>
    <w:multiLevelType w:val="hybridMultilevel"/>
    <w:tmpl w:val="A5901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581F5C58"/>
    <w:multiLevelType w:val="multilevel"/>
    <w:tmpl w:val="04EC4DD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5F4369B0"/>
    <w:multiLevelType w:val="hybridMultilevel"/>
    <w:tmpl w:val="6B065B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854A72"/>
    <w:multiLevelType w:val="hybridMultilevel"/>
    <w:tmpl w:val="8AE016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4D63E77"/>
    <w:multiLevelType w:val="hybridMultilevel"/>
    <w:tmpl w:val="4FE802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8371DE0"/>
    <w:multiLevelType w:val="multilevel"/>
    <w:tmpl w:val="04EC4DD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EA2585"/>
    <w:multiLevelType w:val="hybridMultilevel"/>
    <w:tmpl w:val="3364D56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223950433">
    <w:abstractNumId w:val="8"/>
  </w:num>
  <w:num w:numId="2" w16cid:durableId="979460293">
    <w:abstractNumId w:val="12"/>
  </w:num>
  <w:num w:numId="3" w16cid:durableId="781343104">
    <w:abstractNumId w:val="14"/>
  </w:num>
  <w:num w:numId="4" w16cid:durableId="1143735034">
    <w:abstractNumId w:val="13"/>
  </w:num>
  <w:num w:numId="5" w16cid:durableId="1784378063">
    <w:abstractNumId w:val="0"/>
  </w:num>
  <w:num w:numId="6" w16cid:durableId="760377333">
    <w:abstractNumId w:val="3"/>
  </w:num>
  <w:num w:numId="7" w16cid:durableId="1263682882">
    <w:abstractNumId w:val="16"/>
  </w:num>
  <w:num w:numId="8" w16cid:durableId="1160004677">
    <w:abstractNumId w:val="9"/>
  </w:num>
  <w:num w:numId="9" w16cid:durableId="1011907689">
    <w:abstractNumId w:val="10"/>
  </w:num>
  <w:num w:numId="10" w16cid:durableId="668211170">
    <w:abstractNumId w:val="11"/>
  </w:num>
  <w:num w:numId="11" w16cid:durableId="1684740627">
    <w:abstractNumId w:val="7"/>
  </w:num>
  <w:num w:numId="12" w16cid:durableId="2133092911">
    <w:abstractNumId w:val="6"/>
  </w:num>
  <w:num w:numId="13" w16cid:durableId="1685553020">
    <w:abstractNumId w:val="15"/>
  </w:num>
  <w:num w:numId="14" w16cid:durableId="211695176">
    <w:abstractNumId w:val="4"/>
  </w:num>
  <w:num w:numId="15" w16cid:durableId="877425993">
    <w:abstractNumId w:val="2"/>
  </w:num>
  <w:num w:numId="16" w16cid:durableId="897327139">
    <w:abstractNumId w:val="5"/>
  </w:num>
  <w:num w:numId="17" w16cid:durableId="569271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41"/>
    <w:rsid w:val="00001C0E"/>
    <w:rsid w:val="00001C29"/>
    <w:rsid w:val="00002459"/>
    <w:rsid w:val="00002A06"/>
    <w:rsid w:val="00003CDB"/>
    <w:rsid w:val="000052FB"/>
    <w:rsid w:val="0000591B"/>
    <w:rsid w:val="0000711E"/>
    <w:rsid w:val="00007784"/>
    <w:rsid w:val="0001517D"/>
    <w:rsid w:val="0002097B"/>
    <w:rsid w:val="000218A0"/>
    <w:rsid w:val="00022A28"/>
    <w:rsid w:val="0002582C"/>
    <w:rsid w:val="00027C1C"/>
    <w:rsid w:val="00027F3C"/>
    <w:rsid w:val="0003052C"/>
    <w:rsid w:val="00030618"/>
    <w:rsid w:val="00034531"/>
    <w:rsid w:val="00036150"/>
    <w:rsid w:val="00036AF1"/>
    <w:rsid w:val="000377DF"/>
    <w:rsid w:val="00041B38"/>
    <w:rsid w:val="00042E6C"/>
    <w:rsid w:val="0005037E"/>
    <w:rsid w:val="00050BE5"/>
    <w:rsid w:val="000551D6"/>
    <w:rsid w:val="00056547"/>
    <w:rsid w:val="00062E55"/>
    <w:rsid w:val="0006450D"/>
    <w:rsid w:val="0006786D"/>
    <w:rsid w:val="00072DD8"/>
    <w:rsid w:val="00072E44"/>
    <w:rsid w:val="00073082"/>
    <w:rsid w:val="000743D2"/>
    <w:rsid w:val="0007466A"/>
    <w:rsid w:val="00075BE8"/>
    <w:rsid w:val="00075F32"/>
    <w:rsid w:val="00080282"/>
    <w:rsid w:val="000841CD"/>
    <w:rsid w:val="00086C16"/>
    <w:rsid w:val="00087DB6"/>
    <w:rsid w:val="000916AC"/>
    <w:rsid w:val="00092CAE"/>
    <w:rsid w:val="00092E46"/>
    <w:rsid w:val="00093897"/>
    <w:rsid w:val="00093D4B"/>
    <w:rsid w:val="0009579A"/>
    <w:rsid w:val="0009701C"/>
    <w:rsid w:val="00097AA9"/>
    <w:rsid w:val="000A0814"/>
    <w:rsid w:val="000A1A45"/>
    <w:rsid w:val="000A30F2"/>
    <w:rsid w:val="000A5015"/>
    <w:rsid w:val="000B2018"/>
    <w:rsid w:val="000B2995"/>
    <w:rsid w:val="000B4B46"/>
    <w:rsid w:val="000B7549"/>
    <w:rsid w:val="000B7A48"/>
    <w:rsid w:val="000C07AA"/>
    <w:rsid w:val="000C1007"/>
    <w:rsid w:val="000C2F46"/>
    <w:rsid w:val="000C3F06"/>
    <w:rsid w:val="000C4360"/>
    <w:rsid w:val="000C680D"/>
    <w:rsid w:val="000C6D65"/>
    <w:rsid w:val="000D1305"/>
    <w:rsid w:val="000D5758"/>
    <w:rsid w:val="000D5A4E"/>
    <w:rsid w:val="000D64BE"/>
    <w:rsid w:val="000D6AB3"/>
    <w:rsid w:val="000E0E12"/>
    <w:rsid w:val="000E0E51"/>
    <w:rsid w:val="000E11A6"/>
    <w:rsid w:val="000E40FD"/>
    <w:rsid w:val="000E7EA4"/>
    <w:rsid w:val="000F1D30"/>
    <w:rsid w:val="000F2CAB"/>
    <w:rsid w:val="000F5598"/>
    <w:rsid w:val="00100BF9"/>
    <w:rsid w:val="0010196E"/>
    <w:rsid w:val="00103852"/>
    <w:rsid w:val="00104CCC"/>
    <w:rsid w:val="001067D8"/>
    <w:rsid w:val="00111B30"/>
    <w:rsid w:val="00114F0C"/>
    <w:rsid w:val="001165B2"/>
    <w:rsid w:val="00117950"/>
    <w:rsid w:val="0012098F"/>
    <w:rsid w:val="001221B2"/>
    <w:rsid w:val="0012320C"/>
    <w:rsid w:val="00124562"/>
    <w:rsid w:val="00124831"/>
    <w:rsid w:val="00126B09"/>
    <w:rsid w:val="001279CA"/>
    <w:rsid w:val="00130176"/>
    <w:rsid w:val="001301C1"/>
    <w:rsid w:val="001427A3"/>
    <w:rsid w:val="00150D67"/>
    <w:rsid w:val="001518A0"/>
    <w:rsid w:val="00153E0C"/>
    <w:rsid w:val="0015445B"/>
    <w:rsid w:val="00154745"/>
    <w:rsid w:val="00154B02"/>
    <w:rsid w:val="001557EC"/>
    <w:rsid w:val="00167738"/>
    <w:rsid w:val="00167CCF"/>
    <w:rsid w:val="0017055D"/>
    <w:rsid w:val="00173151"/>
    <w:rsid w:val="001752D0"/>
    <w:rsid w:val="0017661D"/>
    <w:rsid w:val="0017728E"/>
    <w:rsid w:val="00183271"/>
    <w:rsid w:val="001904E9"/>
    <w:rsid w:val="001907D5"/>
    <w:rsid w:val="00191C7A"/>
    <w:rsid w:val="0019340A"/>
    <w:rsid w:val="00193757"/>
    <w:rsid w:val="00193FD6"/>
    <w:rsid w:val="0019643C"/>
    <w:rsid w:val="001A09FD"/>
    <w:rsid w:val="001A0FC4"/>
    <w:rsid w:val="001A3FE2"/>
    <w:rsid w:val="001A4CF4"/>
    <w:rsid w:val="001A75E6"/>
    <w:rsid w:val="001B09B5"/>
    <w:rsid w:val="001B261F"/>
    <w:rsid w:val="001B33E8"/>
    <w:rsid w:val="001B6FEC"/>
    <w:rsid w:val="001C3AB9"/>
    <w:rsid w:val="001D418D"/>
    <w:rsid w:val="001D44B4"/>
    <w:rsid w:val="001E1332"/>
    <w:rsid w:val="001F6789"/>
    <w:rsid w:val="002004BE"/>
    <w:rsid w:val="00200A08"/>
    <w:rsid w:val="002011A4"/>
    <w:rsid w:val="0020173F"/>
    <w:rsid w:val="00202761"/>
    <w:rsid w:val="00205AC2"/>
    <w:rsid w:val="00205C30"/>
    <w:rsid w:val="0021114E"/>
    <w:rsid w:val="00211714"/>
    <w:rsid w:val="00217BB0"/>
    <w:rsid w:val="002200CF"/>
    <w:rsid w:val="00221E04"/>
    <w:rsid w:val="0022233C"/>
    <w:rsid w:val="002258F1"/>
    <w:rsid w:val="002266B9"/>
    <w:rsid w:val="00227880"/>
    <w:rsid w:val="00231738"/>
    <w:rsid w:val="00233B39"/>
    <w:rsid w:val="00236FAB"/>
    <w:rsid w:val="00237B84"/>
    <w:rsid w:val="0024377B"/>
    <w:rsid w:val="0024417C"/>
    <w:rsid w:val="00244852"/>
    <w:rsid w:val="00245C7C"/>
    <w:rsid w:val="002553C1"/>
    <w:rsid w:val="0026052F"/>
    <w:rsid w:val="00262432"/>
    <w:rsid w:val="00262E00"/>
    <w:rsid w:val="002639A7"/>
    <w:rsid w:val="0026454F"/>
    <w:rsid w:val="00264A8A"/>
    <w:rsid w:val="00265440"/>
    <w:rsid w:val="00265791"/>
    <w:rsid w:val="00265AE7"/>
    <w:rsid w:val="00265DA0"/>
    <w:rsid w:val="0027114C"/>
    <w:rsid w:val="0027161C"/>
    <w:rsid w:val="00272315"/>
    <w:rsid w:val="00272DB4"/>
    <w:rsid w:val="002746EC"/>
    <w:rsid w:val="0027523D"/>
    <w:rsid w:val="0027683D"/>
    <w:rsid w:val="00276F26"/>
    <w:rsid w:val="002853A6"/>
    <w:rsid w:val="002925D3"/>
    <w:rsid w:val="0029286A"/>
    <w:rsid w:val="00292DC2"/>
    <w:rsid w:val="00297400"/>
    <w:rsid w:val="00297C1B"/>
    <w:rsid w:val="002A1601"/>
    <w:rsid w:val="002A3EE6"/>
    <w:rsid w:val="002A6FA6"/>
    <w:rsid w:val="002A7EC3"/>
    <w:rsid w:val="002B1F81"/>
    <w:rsid w:val="002B2702"/>
    <w:rsid w:val="002B36BE"/>
    <w:rsid w:val="002B6D13"/>
    <w:rsid w:val="002C21C3"/>
    <w:rsid w:val="002C267E"/>
    <w:rsid w:val="002C2C62"/>
    <w:rsid w:val="002C5718"/>
    <w:rsid w:val="002D0A6B"/>
    <w:rsid w:val="002D206B"/>
    <w:rsid w:val="002D2C31"/>
    <w:rsid w:val="002D43C2"/>
    <w:rsid w:val="002D515F"/>
    <w:rsid w:val="002D72C9"/>
    <w:rsid w:val="002E0FA6"/>
    <w:rsid w:val="002E5B55"/>
    <w:rsid w:val="002E658A"/>
    <w:rsid w:val="002F000B"/>
    <w:rsid w:val="002F6E3C"/>
    <w:rsid w:val="002F765C"/>
    <w:rsid w:val="003011FB"/>
    <w:rsid w:val="0030335A"/>
    <w:rsid w:val="0030347B"/>
    <w:rsid w:val="003059D6"/>
    <w:rsid w:val="00310705"/>
    <w:rsid w:val="00311760"/>
    <w:rsid w:val="003136A4"/>
    <w:rsid w:val="00315B20"/>
    <w:rsid w:val="00316399"/>
    <w:rsid w:val="00316E62"/>
    <w:rsid w:val="003178B4"/>
    <w:rsid w:val="00320690"/>
    <w:rsid w:val="00320AF5"/>
    <w:rsid w:val="00322624"/>
    <w:rsid w:val="00324886"/>
    <w:rsid w:val="00331525"/>
    <w:rsid w:val="00334823"/>
    <w:rsid w:val="00336B11"/>
    <w:rsid w:val="00336B26"/>
    <w:rsid w:val="00342B68"/>
    <w:rsid w:val="00346D53"/>
    <w:rsid w:val="0034750B"/>
    <w:rsid w:val="00356BBB"/>
    <w:rsid w:val="0036095B"/>
    <w:rsid w:val="0036106D"/>
    <w:rsid w:val="00362C35"/>
    <w:rsid w:val="00371997"/>
    <w:rsid w:val="0037302B"/>
    <w:rsid w:val="003733B3"/>
    <w:rsid w:val="003745D5"/>
    <w:rsid w:val="003761A5"/>
    <w:rsid w:val="00377758"/>
    <w:rsid w:val="00380644"/>
    <w:rsid w:val="00381A44"/>
    <w:rsid w:val="00381AB7"/>
    <w:rsid w:val="00382A84"/>
    <w:rsid w:val="0038372F"/>
    <w:rsid w:val="003839C4"/>
    <w:rsid w:val="00390E6A"/>
    <w:rsid w:val="00394FB2"/>
    <w:rsid w:val="003974B0"/>
    <w:rsid w:val="003A154A"/>
    <w:rsid w:val="003A1FB7"/>
    <w:rsid w:val="003A5873"/>
    <w:rsid w:val="003A6755"/>
    <w:rsid w:val="003A6988"/>
    <w:rsid w:val="003B7B3D"/>
    <w:rsid w:val="003C0FC1"/>
    <w:rsid w:val="003C2271"/>
    <w:rsid w:val="003C3D12"/>
    <w:rsid w:val="003C4C6F"/>
    <w:rsid w:val="003D33D7"/>
    <w:rsid w:val="003D5828"/>
    <w:rsid w:val="003D5AF3"/>
    <w:rsid w:val="003D7880"/>
    <w:rsid w:val="003E0768"/>
    <w:rsid w:val="003E1AF3"/>
    <w:rsid w:val="003E3D26"/>
    <w:rsid w:val="003E7287"/>
    <w:rsid w:val="003F1043"/>
    <w:rsid w:val="003F2A0A"/>
    <w:rsid w:val="003F60DE"/>
    <w:rsid w:val="00401180"/>
    <w:rsid w:val="00402FAC"/>
    <w:rsid w:val="004048C8"/>
    <w:rsid w:val="004063BA"/>
    <w:rsid w:val="00410D99"/>
    <w:rsid w:val="00412994"/>
    <w:rsid w:val="0041323A"/>
    <w:rsid w:val="00413ADA"/>
    <w:rsid w:val="0041595B"/>
    <w:rsid w:val="004169CF"/>
    <w:rsid w:val="00417D45"/>
    <w:rsid w:val="00417E90"/>
    <w:rsid w:val="00421DC7"/>
    <w:rsid w:val="004267DE"/>
    <w:rsid w:val="00426CF0"/>
    <w:rsid w:val="00437351"/>
    <w:rsid w:val="0044214E"/>
    <w:rsid w:val="00444A30"/>
    <w:rsid w:val="00446289"/>
    <w:rsid w:val="00447277"/>
    <w:rsid w:val="00453DC5"/>
    <w:rsid w:val="00454EFF"/>
    <w:rsid w:val="00455C31"/>
    <w:rsid w:val="00455F59"/>
    <w:rsid w:val="00455F5D"/>
    <w:rsid w:val="00457602"/>
    <w:rsid w:val="00461EEE"/>
    <w:rsid w:val="00462959"/>
    <w:rsid w:val="00463B77"/>
    <w:rsid w:val="00474194"/>
    <w:rsid w:val="00474B80"/>
    <w:rsid w:val="00474D5C"/>
    <w:rsid w:val="00474D95"/>
    <w:rsid w:val="00476FA6"/>
    <w:rsid w:val="00481D55"/>
    <w:rsid w:val="00484048"/>
    <w:rsid w:val="004864BA"/>
    <w:rsid w:val="0048743A"/>
    <w:rsid w:val="004928C9"/>
    <w:rsid w:val="00492E5E"/>
    <w:rsid w:val="0049451B"/>
    <w:rsid w:val="00495B6A"/>
    <w:rsid w:val="004963BA"/>
    <w:rsid w:val="00496CC9"/>
    <w:rsid w:val="004A00BC"/>
    <w:rsid w:val="004A1DA8"/>
    <w:rsid w:val="004A5283"/>
    <w:rsid w:val="004A550A"/>
    <w:rsid w:val="004A5957"/>
    <w:rsid w:val="004B0A46"/>
    <w:rsid w:val="004B11AF"/>
    <w:rsid w:val="004B1E12"/>
    <w:rsid w:val="004B20B1"/>
    <w:rsid w:val="004B2FD4"/>
    <w:rsid w:val="004B3982"/>
    <w:rsid w:val="004C0785"/>
    <w:rsid w:val="004C2BE8"/>
    <w:rsid w:val="004C78AB"/>
    <w:rsid w:val="004D296E"/>
    <w:rsid w:val="004D2E08"/>
    <w:rsid w:val="004D328A"/>
    <w:rsid w:val="004D5FC8"/>
    <w:rsid w:val="004D76AD"/>
    <w:rsid w:val="004D7D39"/>
    <w:rsid w:val="004E0C25"/>
    <w:rsid w:val="004E161E"/>
    <w:rsid w:val="004E2FF0"/>
    <w:rsid w:val="004E708A"/>
    <w:rsid w:val="004E7CCD"/>
    <w:rsid w:val="004F0097"/>
    <w:rsid w:val="004F39BD"/>
    <w:rsid w:val="004F46AC"/>
    <w:rsid w:val="004F5E49"/>
    <w:rsid w:val="004F71E4"/>
    <w:rsid w:val="005029B9"/>
    <w:rsid w:val="00502EBA"/>
    <w:rsid w:val="00504EA0"/>
    <w:rsid w:val="005107E7"/>
    <w:rsid w:val="0051116D"/>
    <w:rsid w:val="00513EB2"/>
    <w:rsid w:val="00516A56"/>
    <w:rsid w:val="00520283"/>
    <w:rsid w:val="00520BF8"/>
    <w:rsid w:val="005226DC"/>
    <w:rsid w:val="005257DA"/>
    <w:rsid w:val="005312EC"/>
    <w:rsid w:val="005338B4"/>
    <w:rsid w:val="00535990"/>
    <w:rsid w:val="005405F6"/>
    <w:rsid w:val="0054464E"/>
    <w:rsid w:val="0054663A"/>
    <w:rsid w:val="00552F9F"/>
    <w:rsid w:val="00554891"/>
    <w:rsid w:val="0055566C"/>
    <w:rsid w:val="00555679"/>
    <w:rsid w:val="00555A41"/>
    <w:rsid w:val="00555A85"/>
    <w:rsid w:val="00557B23"/>
    <w:rsid w:val="005638EF"/>
    <w:rsid w:val="00564810"/>
    <w:rsid w:val="00574567"/>
    <w:rsid w:val="00574CAF"/>
    <w:rsid w:val="00575D50"/>
    <w:rsid w:val="00576878"/>
    <w:rsid w:val="005805CF"/>
    <w:rsid w:val="00580753"/>
    <w:rsid w:val="00581B6B"/>
    <w:rsid w:val="00584976"/>
    <w:rsid w:val="005861F6"/>
    <w:rsid w:val="00586378"/>
    <w:rsid w:val="00590FCB"/>
    <w:rsid w:val="0059453D"/>
    <w:rsid w:val="00595A4B"/>
    <w:rsid w:val="00596297"/>
    <w:rsid w:val="00596347"/>
    <w:rsid w:val="00597391"/>
    <w:rsid w:val="005A12C1"/>
    <w:rsid w:val="005A23A5"/>
    <w:rsid w:val="005A52CA"/>
    <w:rsid w:val="005A69DD"/>
    <w:rsid w:val="005B1D04"/>
    <w:rsid w:val="005B2B3E"/>
    <w:rsid w:val="005B3502"/>
    <w:rsid w:val="005C12FD"/>
    <w:rsid w:val="005C1497"/>
    <w:rsid w:val="005C2440"/>
    <w:rsid w:val="005D1291"/>
    <w:rsid w:val="005D2FF7"/>
    <w:rsid w:val="005D3538"/>
    <w:rsid w:val="005D371B"/>
    <w:rsid w:val="005D385F"/>
    <w:rsid w:val="005E505B"/>
    <w:rsid w:val="005E5668"/>
    <w:rsid w:val="005F3CCB"/>
    <w:rsid w:val="005F440D"/>
    <w:rsid w:val="006055D3"/>
    <w:rsid w:val="00614991"/>
    <w:rsid w:val="006202EB"/>
    <w:rsid w:val="006269CF"/>
    <w:rsid w:val="0063045C"/>
    <w:rsid w:val="00633B7E"/>
    <w:rsid w:val="00642E02"/>
    <w:rsid w:val="00647D89"/>
    <w:rsid w:val="00651C82"/>
    <w:rsid w:val="00653AD0"/>
    <w:rsid w:val="006558B5"/>
    <w:rsid w:val="006565C1"/>
    <w:rsid w:val="00657CDC"/>
    <w:rsid w:val="00660E02"/>
    <w:rsid w:val="00664C33"/>
    <w:rsid w:val="00665A94"/>
    <w:rsid w:val="00667867"/>
    <w:rsid w:val="006700CC"/>
    <w:rsid w:val="00672B77"/>
    <w:rsid w:val="00672BD4"/>
    <w:rsid w:val="00674EEE"/>
    <w:rsid w:val="006768EB"/>
    <w:rsid w:val="0067692B"/>
    <w:rsid w:val="006806A5"/>
    <w:rsid w:val="00680CA2"/>
    <w:rsid w:val="00684360"/>
    <w:rsid w:val="006938C7"/>
    <w:rsid w:val="00696471"/>
    <w:rsid w:val="00697187"/>
    <w:rsid w:val="006A0303"/>
    <w:rsid w:val="006A0D1F"/>
    <w:rsid w:val="006A18D6"/>
    <w:rsid w:val="006A2405"/>
    <w:rsid w:val="006A3BC3"/>
    <w:rsid w:val="006A6AD2"/>
    <w:rsid w:val="006A75E7"/>
    <w:rsid w:val="006B0B47"/>
    <w:rsid w:val="006C10B3"/>
    <w:rsid w:val="006C5F8F"/>
    <w:rsid w:val="006C6202"/>
    <w:rsid w:val="006D3C77"/>
    <w:rsid w:val="006D4E0B"/>
    <w:rsid w:val="006D4ED0"/>
    <w:rsid w:val="006D7125"/>
    <w:rsid w:val="006E141D"/>
    <w:rsid w:val="006E4C84"/>
    <w:rsid w:val="006F0757"/>
    <w:rsid w:val="006F6F32"/>
    <w:rsid w:val="006F7AC9"/>
    <w:rsid w:val="00712716"/>
    <w:rsid w:val="0071309B"/>
    <w:rsid w:val="00714F34"/>
    <w:rsid w:val="00715099"/>
    <w:rsid w:val="00721D78"/>
    <w:rsid w:val="0072340D"/>
    <w:rsid w:val="007238BA"/>
    <w:rsid w:val="00725135"/>
    <w:rsid w:val="007279A5"/>
    <w:rsid w:val="007316AB"/>
    <w:rsid w:val="007325C5"/>
    <w:rsid w:val="00736654"/>
    <w:rsid w:val="007378D4"/>
    <w:rsid w:val="00740BF7"/>
    <w:rsid w:val="007410BE"/>
    <w:rsid w:val="00741C06"/>
    <w:rsid w:val="00742407"/>
    <w:rsid w:val="0074376A"/>
    <w:rsid w:val="007451CF"/>
    <w:rsid w:val="0074749E"/>
    <w:rsid w:val="0075032C"/>
    <w:rsid w:val="0075098B"/>
    <w:rsid w:val="00750B8E"/>
    <w:rsid w:val="00751B99"/>
    <w:rsid w:val="007544C7"/>
    <w:rsid w:val="0076054C"/>
    <w:rsid w:val="00771346"/>
    <w:rsid w:val="00772EE1"/>
    <w:rsid w:val="00777466"/>
    <w:rsid w:val="007800C8"/>
    <w:rsid w:val="00782F41"/>
    <w:rsid w:val="00785871"/>
    <w:rsid w:val="007874AC"/>
    <w:rsid w:val="007A1E2A"/>
    <w:rsid w:val="007A3B3E"/>
    <w:rsid w:val="007A3E52"/>
    <w:rsid w:val="007B059C"/>
    <w:rsid w:val="007B2FF1"/>
    <w:rsid w:val="007B32FC"/>
    <w:rsid w:val="007B38A0"/>
    <w:rsid w:val="007B5066"/>
    <w:rsid w:val="007B6AE5"/>
    <w:rsid w:val="007B7029"/>
    <w:rsid w:val="007C02AE"/>
    <w:rsid w:val="007C07CA"/>
    <w:rsid w:val="007C0996"/>
    <w:rsid w:val="007C0B78"/>
    <w:rsid w:val="007C5ED6"/>
    <w:rsid w:val="007C7F94"/>
    <w:rsid w:val="007D0AA5"/>
    <w:rsid w:val="007D355E"/>
    <w:rsid w:val="007D4861"/>
    <w:rsid w:val="007E0C25"/>
    <w:rsid w:val="007E1880"/>
    <w:rsid w:val="007E3854"/>
    <w:rsid w:val="007E5072"/>
    <w:rsid w:val="007E614A"/>
    <w:rsid w:val="007F00BA"/>
    <w:rsid w:val="007F1AC9"/>
    <w:rsid w:val="007F3CED"/>
    <w:rsid w:val="007F6D52"/>
    <w:rsid w:val="00806D0E"/>
    <w:rsid w:val="00807092"/>
    <w:rsid w:val="00813199"/>
    <w:rsid w:val="00813702"/>
    <w:rsid w:val="0081450D"/>
    <w:rsid w:val="00814547"/>
    <w:rsid w:val="00815E36"/>
    <w:rsid w:val="00815FD0"/>
    <w:rsid w:val="008174A6"/>
    <w:rsid w:val="0081775A"/>
    <w:rsid w:val="008208A0"/>
    <w:rsid w:val="00821233"/>
    <w:rsid w:val="00823FCE"/>
    <w:rsid w:val="0082464F"/>
    <w:rsid w:val="008246CC"/>
    <w:rsid w:val="00825FD2"/>
    <w:rsid w:val="0082709E"/>
    <w:rsid w:val="00831D7B"/>
    <w:rsid w:val="00836F9F"/>
    <w:rsid w:val="00840D6B"/>
    <w:rsid w:val="00842895"/>
    <w:rsid w:val="0084722D"/>
    <w:rsid w:val="008505FE"/>
    <w:rsid w:val="008517A1"/>
    <w:rsid w:val="008554FC"/>
    <w:rsid w:val="00855961"/>
    <w:rsid w:val="008559E1"/>
    <w:rsid w:val="00855E72"/>
    <w:rsid w:val="00862901"/>
    <w:rsid w:val="00862A1D"/>
    <w:rsid w:val="008635E0"/>
    <w:rsid w:val="008664D7"/>
    <w:rsid w:val="008744BF"/>
    <w:rsid w:val="0087539D"/>
    <w:rsid w:val="0087604B"/>
    <w:rsid w:val="0088166D"/>
    <w:rsid w:val="00886824"/>
    <w:rsid w:val="00887FA9"/>
    <w:rsid w:val="00892AFD"/>
    <w:rsid w:val="0089326C"/>
    <w:rsid w:val="008937C9"/>
    <w:rsid w:val="008944AC"/>
    <w:rsid w:val="00895EB3"/>
    <w:rsid w:val="008A29C7"/>
    <w:rsid w:val="008A3479"/>
    <w:rsid w:val="008A3795"/>
    <w:rsid w:val="008A654E"/>
    <w:rsid w:val="008A6D01"/>
    <w:rsid w:val="008A7352"/>
    <w:rsid w:val="008B6DEA"/>
    <w:rsid w:val="008C0588"/>
    <w:rsid w:val="008C0A44"/>
    <w:rsid w:val="008C384B"/>
    <w:rsid w:val="008C4EAA"/>
    <w:rsid w:val="008C7336"/>
    <w:rsid w:val="008D144F"/>
    <w:rsid w:val="008D25B6"/>
    <w:rsid w:val="008D4177"/>
    <w:rsid w:val="008D4364"/>
    <w:rsid w:val="008D4B5D"/>
    <w:rsid w:val="008D6294"/>
    <w:rsid w:val="008E12AE"/>
    <w:rsid w:val="008E53FA"/>
    <w:rsid w:val="008E7C46"/>
    <w:rsid w:val="008E7CD8"/>
    <w:rsid w:val="008F0F13"/>
    <w:rsid w:val="008F33C5"/>
    <w:rsid w:val="009037D0"/>
    <w:rsid w:val="009073B3"/>
    <w:rsid w:val="00907EE9"/>
    <w:rsid w:val="00910A0C"/>
    <w:rsid w:val="0091297A"/>
    <w:rsid w:val="00913907"/>
    <w:rsid w:val="00917284"/>
    <w:rsid w:val="0092034F"/>
    <w:rsid w:val="0092274D"/>
    <w:rsid w:val="00922B50"/>
    <w:rsid w:val="009235FC"/>
    <w:rsid w:val="00925345"/>
    <w:rsid w:val="00927FC2"/>
    <w:rsid w:val="00931DC4"/>
    <w:rsid w:val="009329AC"/>
    <w:rsid w:val="00934415"/>
    <w:rsid w:val="00935A60"/>
    <w:rsid w:val="00940622"/>
    <w:rsid w:val="009414AA"/>
    <w:rsid w:val="00942A5E"/>
    <w:rsid w:val="0094381D"/>
    <w:rsid w:val="0095176B"/>
    <w:rsid w:val="0095439E"/>
    <w:rsid w:val="00955325"/>
    <w:rsid w:val="00955366"/>
    <w:rsid w:val="00955428"/>
    <w:rsid w:val="00957418"/>
    <w:rsid w:val="00957F6F"/>
    <w:rsid w:val="00960ABC"/>
    <w:rsid w:val="00962148"/>
    <w:rsid w:val="00963394"/>
    <w:rsid w:val="0096692C"/>
    <w:rsid w:val="00967EBD"/>
    <w:rsid w:val="00970DEF"/>
    <w:rsid w:val="00971A17"/>
    <w:rsid w:val="00972B1D"/>
    <w:rsid w:val="00973691"/>
    <w:rsid w:val="009750A5"/>
    <w:rsid w:val="00976572"/>
    <w:rsid w:val="00981777"/>
    <w:rsid w:val="009825F3"/>
    <w:rsid w:val="00982BAA"/>
    <w:rsid w:val="00984FA8"/>
    <w:rsid w:val="009A0CDE"/>
    <w:rsid w:val="009A0FBE"/>
    <w:rsid w:val="009A2745"/>
    <w:rsid w:val="009A7665"/>
    <w:rsid w:val="009A79D2"/>
    <w:rsid w:val="009B0367"/>
    <w:rsid w:val="009B1505"/>
    <w:rsid w:val="009B17A6"/>
    <w:rsid w:val="009B21C4"/>
    <w:rsid w:val="009B3EC2"/>
    <w:rsid w:val="009B42F8"/>
    <w:rsid w:val="009B6551"/>
    <w:rsid w:val="009C01A8"/>
    <w:rsid w:val="009C2A38"/>
    <w:rsid w:val="009C2F75"/>
    <w:rsid w:val="009C7A2F"/>
    <w:rsid w:val="009D24BD"/>
    <w:rsid w:val="009D388A"/>
    <w:rsid w:val="009D7754"/>
    <w:rsid w:val="009E08FC"/>
    <w:rsid w:val="009E170B"/>
    <w:rsid w:val="009E3DD1"/>
    <w:rsid w:val="009E6B1F"/>
    <w:rsid w:val="009F142F"/>
    <w:rsid w:val="009F5EAF"/>
    <w:rsid w:val="009F6513"/>
    <w:rsid w:val="009F74F3"/>
    <w:rsid w:val="00A0083B"/>
    <w:rsid w:val="00A008E6"/>
    <w:rsid w:val="00A01C27"/>
    <w:rsid w:val="00A05C04"/>
    <w:rsid w:val="00A127A2"/>
    <w:rsid w:val="00A144E9"/>
    <w:rsid w:val="00A22746"/>
    <w:rsid w:val="00A266B9"/>
    <w:rsid w:val="00A278A7"/>
    <w:rsid w:val="00A27A69"/>
    <w:rsid w:val="00A313A8"/>
    <w:rsid w:val="00A355EB"/>
    <w:rsid w:val="00A44241"/>
    <w:rsid w:val="00A45834"/>
    <w:rsid w:val="00A510C8"/>
    <w:rsid w:val="00A515C7"/>
    <w:rsid w:val="00A54676"/>
    <w:rsid w:val="00A549CA"/>
    <w:rsid w:val="00A55915"/>
    <w:rsid w:val="00A56F37"/>
    <w:rsid w:val="00A57A11"/>
    <w:rsid w:val="00A6288D"/>
    <w:rsid w:val="00A6643D"/>
    <w:rsid w:val="00A70745"/>
    <w:rsid w:val="00A71124"/>
    <w:rsid w:val="00A71F66"/>
    <w:rsid w:val="00A73ED3"/>
    <w:rsid w:val="00A740CA"/>
    <w:rsid w:val="00A746A4"/>
    <w:rsid w:val="00A76E16"/>
    <w:rsid w:val="00A77637"/>
    <w:rsid w:val="00A81384"/>
    <w:rsid w:val="00A81618"/>
    <w:rsid w:val="00A84027"/>
    <w:rsid w:val="00A8480E"/>
    <w:rsid w:val="00A9704D"/>
    <w:rsid w:val="00A97738"/>
    <w:rsid w:val="00AA6CFB"/>
    <w:rsid w:val="00AB1919"/>
    <w:rsid w:val="00AB202A"/>
    <w:rsid w:val="00AB2A5C"/>
    <w:rsid w:val="00AB7326"/>
    <w:rsid w:val="00AB79F4"/>
    <w:rsid w:val="00AB7F41"/>
    <w:rsid w:val="00AC1393"/>
    <w:rsid w:val="00AC42A9"/>
    <w:rsid w:val="00AC6749"/>
    <w:rsid w:val="00AC6D52"/>
    <w:rsid w:val="00AC6E3B"/>
    <w:rsid w:val="00AD17B0"/>
    <w:rsid w:val="00AD4160"/>
    <w:rsid w:val="00AE4807"/>
    <w:rsid w:val="00AE59DD"/>
    <w:rsid w:val="00AE70AC"/>
    <w:rsid w:val="00AE7796"/>
    <w:rsid w:val="00AF044F"/>
    <w:rsid w:val="00AF0498"/>
    <w:rsid w:val="00AF4A3E"/>
    <w:rsid w:val="00AF644F"/>
    <w:rsid w:val="00B00C9D"/>
    <w:rsid w:val="00B0350A"/>
    <w:rsid w:val="00B11064"/>
    <w:rsid w:val="00B14148"/>
    <w:rsid w:val="00B152D1"/>
    <w:rsid w:val="00B22166"/>
    <w:rsid w:val="00B22AB4"/>
    <w:rsid w:val="00B24771"/>
    <w:rsid w:val="00B26A8F"/>
    <w:rsid w:val="00B35D8B"/>
    <w:rsid w:val="00B36274"/>
    <w:rsid w:val="00B37C41"/>
    <w:rsid w:val="00B439DE"/>
    <w:rsid w:val="00B442A2"/>
    <w:rsid w:val="00B45606"/>
    <w:rsid w:val="00B475CF"/>
    <w:rsid w:val="00B479A4"/>
    <w:rsid w:val="00B51313"/>
    <w:rsid w:val="00B5210C"/>
    <w:rsid w:val="00B52E47"/>
    <w:rsid w:val="00B54C6B"/>
    <w:rsid w:val="00B6089E"/>
    <w:rsid w:val="00B633F7"/>
    <w:rsid w:val="00B64EF1"/>
    <w:rsid w:val="00B65906"/>
    <w:rsid w:val="00B67120"/>
    <w:rsid w:val="00B714B9"/>
    <w:rsid w:val="00B73F3A"/>
    <w:rsid w:val="00B82E57"/>
    <w:rsid w:val="00B838ED"/>
    <w:rsid w:val="00B8399A"/>
    <w:rsid w:val="00B84215"/>
    <w:rsid w:val="00B84DEB"/>
    <w:rsid w:val="00B86714"/>
    <w:rsid w:val="00B875F9"/>
    <w:rsid w:val="00BA1E09"/>
    <w:rsid w:val="00BA3DD9"/>
    <w:rsid w:val="00BB018A"/>
    <w:rsid w:val="00BB1F14"/>
    <w:rsid w:val="00BB5A00"/>
    <w:rsid w:val="00BC1611"/>
    <w:rsid w:val="00BD39B9"/>
    <w:rsid w:val="00BD4AC4"/>
    <w:rsid w:val="00BD72B9"/>
    <w:rsid w:val="00BE3217"/>
    <w:rsid w:val="00BE3365"/>
    <w:rsid w:val="00BE56BC"/>
    <w:rsid w:val="00BE6418"/>
    <w:rsid w:val="00BE6BDE"/>
    <w:rsid w:val="00BF2A80"/>
    <w:rsid w:val="00BF30C2"/>
    <w:rsid w:val="00BF512A"/>
    <w:rsid w:val="00BF6505"/>
    <w:rsid w:val="00C03D8E"/>
    <w:rsid w:val="00C04E34"/>
    <w:rsid w:val="00C1272F"/>
    <w:rsid w:val="00C13C63"/>
    <w:rsid w:val="00C173F6"/>
    <w:rsid w:val="00C2574C"/>
    <w:rsid w:val="00C26590"/>
    <w:rsid w:val="00C30261"/>
    <w:rsid w:val="00C336EC"/>
    <w:rsid w:val="00C343E6"/>
    <w:rsid w:val="00C34CD8"/>
    <w:rsid w:val="00C36BDF"/>
    <w:rsid w:val="00C37B8C"/>
    <w:rsid w:val="00C46C58"/>
    <w:rsid w:val="00C471C6"/>
    <w:rsid w:val="00C52725"/>
    <w:rsid w:val="00C53372"/>
    <w:rsid w:val="00C5395C"/>
    <w:rsid w:val="00C53CA3"/>
    <w:rsid w:val="00C62990"/>
    <w:rsid w:val="00C62AA0"/>
    <w:rsid w:val="00C70A03"/>
    <w:rsid w:val="00C7161E"/>
    <w:rsid w:val="00C753C2"/>
    <w:rsid w:val="00C76A77"/>
    <w:rsid w:val="00C81DD2"/>
    <w:rsid w:val="00C84EE5"/>
    <w:rsid w:val="00C85557"/>
    <w:rsid w:val="00C90DBE"/>
    <w:rsid w:val="00C93687"/>
    <w:rsid w:val="00C93E5D"/>
    <w:rsid w:val="00C9656B"/>
    <w:rsid w:val="00CA0146"/>
    <w:rsid w:val="00CA454D"/>
    <w:rsid w:val="00CA74C9"/>
    <w:rsid w:val="00CB4CAE"/>
    <w:rsid w:val="00CC0A2D"/>
    <w:rsid w:val="00CC59A9"/>
    <w:rsid w:val="00CD1D0C"/>
    <w:rsid w:val="00CD436C"/>
    <w:rsid w:val="00CD68E1"/>
    <w:rsid w:val="00CE2BFC"/>
    <w:rsid w:val="00CE3A02"/>
    <w:rsid w:val="00CE4268"/>
    <w:rsid w:val="00CE77CE"/>
    <w:rsid w:val="00CE7B05"/>
    <w:rsid w:val="00CF01EC"/>
    <w:rsid w:val="00CF2720"/>
    <w:rsid w:val="00CF45B4"/>
    <w:rsid w:val="00CF5BD4"/>
    <w:rsid w:val="00CF6338"/>
    <w:rsid w:val="00D006BA"/>
    <w:rsid w:val="00D011C9"/>
    <w:rsid w:val="00D020B3"/>
    <w:rsid w:val="00D0387C"/>
    <w:rsid w:val="00D06463"/>
    <w:rsid w:val="00D065E7"/>
    <w:rsid w:val="00D06E26"/>
    <w:rsid w:val="00D135DC"/>
    <w:rsid w:val="00D14813"/>
    <w:rsid w:val="00D1649A"/>
    <w:rsid w:val="00D2273E"/>
    <w:rsid w:val="00D23612"/>
    <w:rsid w:val="00D247EE"/>
    <w:rsid w:val="00D24C1E"/>
    <w:rsid w:val="00D24EA5"/>
    <w:rsid w:val="00D266C4"/>
    <w:rsid w:val="00D26FCB"/>
    <w:rsid w:val="00D330AA"/>
    <w:rsid w:val="00D33E66"/>
    <w:rsid w:val="00D34AAC"/>
    <w:rsid w:val="00D417D8"/>
    <w:rsid w:val="00D41B87"/>
    <w:rsid w:val="00D41F4B"/>
    <w:rsid w:val="00D42BAB"/>
    <w:rsid w:val="00D432E1"/>
    <w:rsid w:val="00D435CA"/>
    <w:rsid w:val="00D44A5B"/>
    <w:rsid w:val="00D528D2"/>
    <w:rsid w:val="00D531B6"/>
    <w:rsid w:val="00D55B0A"/>
    <w:rsid w:val="00D57619"/>
    <w:rsid w:val="00D57A3F"/>
    <w:rsid w:val="00D604A5"/>
    <w:rsid w:val="00D60AD1"/>
    <w:rsid w:val="00D60D92"/>
    <w:rsid w:val="00D615CE"/>
    <w:rsid w:val="00D617A9"/>
    <w:rsid w:val="00D6279B"/>
    <w:rsid w:val="00D63B6F"/>
    <w:rsid w:val="00D63B86"/>
    <w:rsid w:val="00D65644"/>
    <w:rsid w:val="00D66056"/>
    <w:rsid w:val="00D742B5"/>
    <w:rsid w:val="00D76E32"/>
    <w:rsid w:val="00D7713D"/>
    <w:rsid w:val="00D771E0"/>
    <w:rsid w:val="00D77E35"/>
    <w:rsid w:val="00D80771"/>
    <w:rsid w:val="00D82A6D"/>
    <w:rsid w:val="00D86F87"/>
    <w:rsid w:val="00D87F1A"/>
    <w:rsid w:val="00D90997"/>
    <w:rsid w:val="00D947DB"/>
    <w:rsid w:val="00D95082"/>
    <w:rsid w:val="00D97134"/>
    <w:rsid w:val="00DA2685"/>
    <w:rsid w:val="00DA2A23"/>
    <w:rsid w:val="00DA3BA6"/>
    <w:rsid w:val="00DA4710"/>
    <w:rsid w:val="00DA7527"/>
    <w:rsid w:val="00DB0640"/>
    <w:rsid w:val="00DB216E"/>
    <w:rsid w:val="00DB413C"/>
    <w:rsid w:val="00DB5B6E"/>
    <w:rsid w:val="00DB7418"/>
    <w:rsid w:val="00DC1052"/>
    <w:rsid w:val="00DC356D"/>
    <w:rsid w:val="00DD27F9"/>
    <w:rsid w:val="00DD2F81"/>
    <w:rsid w:val="00DE0B4A"/>
    <w:rsid w:val="00DE2B31"/>
    <w:rsid w:val="00DE4B62"/>
    <w:rsid w:val="00DE6560"/>
    <w:rsid w:val="00DF15DA"/>
    <w:rsid w:val="00DF2E5F"/>
    <w:rsid w:val="00DF325A"/>
    <w:rsid w:val="00DF4142"/>
    <w:rsid w:val="00DF66E1"/>
    <w:rsid w:val="00DF7079"/>
    <w:rsid w:val="00DF77FC"/>
    <w:rsid w:val="00E0430B"/>
    <w:rsid w:val="00E0442F"/>
    <w:rsid w:val="00E062BE"/>
    <w:rsid w:val="00E06A0F"/>
    <w:rsid w:val="00E12236"/>
    <w:rsid w:val="00E15A24"/>
    <w:rsid w:val="00E15FE8"/>
    <w:rsid w:val="00E17472"/>
    <w:rsid w:val="00E176B2"/>
    <w:rsid w:val="00E20496"/>
    <w:rsid w:val="00E223DF"/>
    <w:rsid w:val="00E22ACC"/>
    <w:rsid w:val="00E24D83"/>
    <w:rsid w:val="00E26C85"/>
    <w:rsid w:val="00E279D7"/>
    <w:rsid w:val="00E3021D"/>
    <w:rsid w:val="00E308CD"/>
    <w:rsid w:val="00E33590"/>
    <w:rsid w:val="00E33C6D"/>
    <w:rsid w:val="00E40607"/>
    <w:rsid w:val="00E44983"/>
    <w:rsid w:val="00E479ED"/>
    <w:rsid w:val="00E51578"/>
    <w:rsid w:val="00E51B9D"/>
    <w:rsid w:val="00E52D28"/>
    <w:rsid w:val="00E549CA"/>
    <w:rsid w:val="00E55EBF"/>
    <w:rsid w:val="00E700A6"/>
    <w:rsid w:val="00E70956"/>
    <w:rsid w:val="00E7381E"/>
    <w:rsid w:val="00E766CA"/>
    <w:rsid w:val="00E770B6"/>
    <w:rsid w:val="00E811D3"/>
    <w:rsid w:val="00E82DEF"/>
    <w:rsid w:val="00E838ED"/>
    <w:rsid w:val="00E848EA"/>
    <w:rsid w:val="00E85A52"/>
    <w:rsid w:val="00E8659E"/>
    <w:rsid w:val="00E871C1"/>
    <w:rsid w:val="00E904FA"/>
    <w:rsid w:val="00E91E03"/>
    <w:rsid w:val="00E92D13"/>
    <w:rsid w:val="00E96E06"/>
    <w:rsid w:val="00EA0BBD"/>
    <w:rsid w:val="00EA1CB7"/>
    <w:rsid w:val="00EA6045"/>
    <w:rsid w:val="00EA6147"/>
    <w:rsid w:val="00EA6F03"/>
    <w:rsid w:val="00EA6FC7"/>
    <w:rsid w:val="00EB44A1"/>
    <w:rsid w:val="00EC127C"/>
    <w:rsid w:val="00EC1B38"/>
    <w:rsid w:val="00EC1F1E"/>
    <w:rsid w:val="00EC3C95"/>
    <w:rsid w:val="00EC57E8"/>
    <w:rsid w:val="00EC5A1E"/>
    <w:rsid w:val="00ED23D2"/>
    <w:rsid w:val="00ED2899"/>
    <w:rsid w:val="00ED299C"/>
    <w:rsid w:val="00ED312D"/>
    <w:rsid w:val="00ED358A"/>
    <w:rsid w:val="00ED5CA4"/>
    <w:rsid w:val="00ED799B"/>
    <w:rsid w:val="00EE1195"/>
    <w:rsid w:val="00EE23D1"/>
    <w:rsid w:val="00EE3B0D"/>
    <w:rsid w:val="00EF082C"/>
    <w:rsid w:val="00EF56F2"/>
    <w:rsid w:val="00EF6529"/>
    <w:rsid w:val="00EF742C"/>
    <w:rsid w:val="00EF7C2B"/>
    <w:rsid w:val="00F0314F"/>
    <w:rsid w:val="00F06AC1"/>
    <w:rsid w:val="00F108A4"/>
    <w:rsid w:val="00F10D63"/>
    <w:rsid w:val="00F10E8C"/>
    <w:rsid w:val="00F1142D"/>
    <w:rsid w:val="00F14527"/>
    <w:rsid w:val="00F15CD2"/>
    <w:rsid w:val="00F1741E"/>
    <w:rsid w:val="00F233DE"/>
    <w:rsid w:val="00F243A0"/>
    <w:rsid w:val="00F2500E"/>
    <w:rsid w:val="00F25950"/>
    <w:rsid w:val="00F27389"/>
    <w:rsid w:val="00F3092E"/>
    <w:rsid w:val="00F31D5C"/>
    <w:rsid w:val="00F3311E"/>
    <w:rsid w:val="00F348C1"/>
    <w:rsid w:val="00F52940"/>
    <w:rsid w:val="00F52EFF"/>
    <w:rsid w:val="00F5647C"/>
    <w:rsid w:val="00F6101E"/>
    <w:rsid w:val="00F6176D"/>
    <w:rsid w:val="00F63A72"/>
    <w:rsid w:val="00F652FB"/>
    <w:rsid w:val="00F67606"/>
    <w:rsid w:val="00F71A63"/>
    <w:rsid w:val="00F73169"/>
    <w:rsid w:val="00F752DF"/>
    <w:rsid w:val="00F815B5"/>
    <w:rsid w:val="00F817A1"/>
    <w:rsid w:val="00F8550A"/>
    <w:rsid w:val="00F87073"/>
    <w:rsid w:val="00F87966"/>
    <w:rsid w:val="00F94085"/>
    <w:rsid w:val="00F95DDB"/>
    <w:rsid w:val="00FA00FC"/>
    <w:rsid w:val="00FA4872"/>
    <w:rsid w:val="00FA4B6D"/>
    <w:rsid w:val="00FA5B0E"/>
    <w:rsid w:val="00FA71AE"/>
    <w:rsid w:val="00FB16B5"/>
    <w:rsid w:val="00FB189E"/>
    <w:rsid w:val="00FB4E17"/>
    <w:rsid w:val="00FB56AB"/>
    <w:rsid w:val="00FB5DAF"/>
    <w:rsid w:val="00FB7211"/>
    <w:rsid w:val="00FC02D1"/>
    <w:rsid w:val="00FC1310"/>
    <w:rsid w:val="00FC249A"/>
    <w:rsid w:val="00FC3B03"/>
    <w:rsid w:val="00FC6B6A"/>
    <w:rsid w:val="00FD01FF"/>
    <w:rsid w:val="00FD12DE"/>
    <w:rsid w:val="00FD57ED"/>
    <w:rsid w:val="00FE02BB"/>
    <w:rsid w:val="00FE1201"/>
    <w:rsid w:val="00FE147C"/>
    <w:rsid w:val="00FE2E47"/>
    <w:rsid w:val="00FE79E4"/>
    <w:rsid w:val="00FE7B68"/>
    <w:rsid w:val="00FF1A3B"/>
    <w:rsid w:val="00FF5251"/>
    <w:rsid w:val="00FF5B6C"/>
    <w:rsid w:val="021C7461"/>
    <w:rsid w:val="022D06F5"/>
    <w:rsid w:val="02C49DE0"/>
    <w:rsid w:val="02FBDA18"/>
    <w:rsid w:val="0450AC79"/>
    <w:rsid w:val="05EA6B5B"/>
    <w:rsid w:val="0687C659"/>
    <w:rsid w:val="06A40E53"/>
    <w:rsid w:val="07CD83E4"/>
    <w:rsid w:val="08DC37E6"/>
    <w:rsid w:val="0B846177"/>
    <w:rsid w:val="0C199072"/>
    <w:rsid w:val="0CE1E6B4"/>
    <w:rsid w:val="0E953B9C"/>
    <w:rsid w:val="0FB9757E"/>
    <w:rsid w:val="1038E755"/>
    <w:rsid w:val="10933CE1"/>
    <w:rsid w:val="10E80AEA"/>
    <w:rsid w:val="116F1EA8"/>
    <w:rsid w:val="12F066BB"/>
    <w:rsid w:val="131B5292"/>
    <w:rsid w:val="132708DB"/>
    <w:rsid w:val="1343A28F"/>
    <w:rsid w:val="144A617A"/>
    <w:rsid w:val="14EC30F7"/>
    <w:rsid w:val="15757824"/>
    <w:rsid w:val="17E892DA"/>
    <w:rsid w:val="1A3F48A4"/>
    <w:rsid w:val="1A7D8FE0"/>
    <w:rsid w:val="1AA0C45F"/>
    <w:rsid w:val="1C774CA6"/>
    <w:rsid w:val="1C96ED7A"/>
    <w:rsid w:val="1D9CCF1E"/>
    <w:rsid w:val="1E68AD6A"/>
    <w:rsid w:val="1ED8ACC3"/>
    <w:rsid w:val="1F13E087"/>
    <w:rsid w:val="21876988"/>
    <w:rsid w:val="284722A4"/>
    <w:rsid w:val="29362FBB"/>
    <w:rsid w:val="2A97A0DC"/>
    <w:rsid w:val="2C7E1298"/>
    <w:rsid w:val="2CDE0482"/>
    <w:rsid w:val="2D9852B7"/>
    <w:rsid w:val="31353EB0"/>
    <w:rsid w:val="324E6A6B"/>
    <w:rsid w:val="32B4EDC0"/>
    <w:rsid w:val="33386A76"/>
    <w:rsid w:val="33C54208"/>
    <w:rsid w:val="36B6F1BA"/>
    <w:rsid w:val="3AB71F49"/>
    <w:rsid w:val="3C6233A0"/>
    <w:rsid w:val="3CFA1E33"/>
    <w:rsid w:val="3D1A461E"/>
    <w:rsid w:val="3DEC206C"/>
    <w:rsid w:val="405118AF"/>
    <w:rsid w:val="4102D1E2"/>
    <w:rsid w:val="4109762D"/>
    <w:rsid w:val="41BC853D"/>
    <w:rsid w:val="44877688"/>
    <w:rsid w:val="4568901E"/>
    <w:rsid w:val="45D07C85"/>
    <w:rsid w:val="482737D6"/>
    <w:rsid w:val="48E72A6C"/>
    <w:rsid w:val="4D9B85BF"/>
    <w:rsid w:val="4DC00DF9"/>
    <w:rsid w:val="4F96C7AA"/>
    <w:rsid w:val="4F9DFEAC"/>
    <w:rsid w:val="540D5149"/>
    <w:rsid w:val="54F89AE0"/>
    <w:rsid w:val="55DE6AED"/>
    <w:rsid w:val="5B50752E"/>
    <w:rsid w:val="5C46C74E"/>
    <w:rsid w:val="5C517890"/>
    <w:rsid w:val="5DC99264"/>
    <w:rsid w:val="5F52FEAB"/>
    <w:rsid w:val="5FF1C292"/>
    <w:rsid w:val="613D2C7C"/>
    <w:rsid w:val="6194BD5B"/>
    <w:rsid w:val="65C59038"/>
    <w:rsid w:val="66B24B5D"/>
    <w:rsid w:val="6826E7AC"/>
    <w:rsid w:val="686FC407"/>
    <w:rsid w:val="69E1FA41"/>
    <w:rsid w:val="6A1A59A8"/>
    <w:rsid w:val="6B0B401D"/>
    <w:rsid w:val="6CDBBB4D"/>
    <w:rsid w:val="6D1493E3"/>
    <w:rsid w:val="6EA7B464"/>
    <w:rsid w:val="6F1CEF8D"/>
    <w:rsid w:val="710F6B63"/>
    <w:rsid w:val="757A3DCA"/>
    <w:rsid w:val="75D52177"/>
    <w:rsid w:val="7661824C"/>
    <w:rsid w:val="76D2E0DE"/>
    <w:rsid w:val="770C55DC"/>
    <w:rsid w:val="7A2882A4"/>
    <w:rsid w:val="7B5113B0"/>
    <w:rsid w:val="7E41B479"/>
    <w:rsid w:val="7F7A6E0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0506E"/>
  <w15:chartTrackingRefBased/>
  <w15:docId w15:val="{1C241DBE-1D7D-4339-9B02-29E0D0E5B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419" w:eastAsia="es-419"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D12"/>
    <w:pPr>
      <w:autoSpaceDE w:val="0"/>
      <w:autoSpaceDN w:val="0"/>
    </w:pPr>
    <w:rPr>
      <w:lang w:val="es-ES" w:eastAsia="es-CO"/>
    </w:rPr>
  </w:style>
  <w:style w:type="paragraph" w:styleId="Ttulo1">
    <w:name w:val="heading 1"/>
    <w:basedOn w:val="Normal"/>
    <w:next w:val="Normal"/>
    <w:qFormat/>
    <w:rsid w:val="003C3D12"/>
    <w:pPr>
      <w:keepNext/>
      <w:jc w:val="center"/>
      <w:outlineLvl w:val="0"/>
    </w:pPr>
    <w:rPr>
      <w:b/>
      <w:bCs/>
      <w:sz w:val="24"/>
      <w:szCs w:val="24"/>
    </w:rPr>
  </w:style>
  <w:style w:type="paragraph" w:styleId="Ttulo6">
    <w:name w:val="heading 6"/>
    <w:basedOn w:val="Normal"/>
    <w:next w:val="Normal"/>
    <w:qFormat/>
    <w:rsid w:val="003C3D12"/>
    <w:pPr>
      <w:keepNext/>
      <w:tabs>
        <w:tab w:val="left" w:pos="1624"/>
      </w:tabs>
      <w:jc w:val="center"/>
      <w:outlineLvl w:val="5"/>
    </w:pPr>
    <w:rPr>
      <w:rFonts w:ascii="Arial" w:hAnsi="Arial" w:cs="Arial"/>
      <w:b/>
      <w:bCs/>
      <w:color w:val="000000"/>
      <w:sz w:val="24"/>
      <w:szCs w:val="24"/>
    </w:rPr>
  </w:style>
  <w:style w:type="paragraph" w:styleId="Ttulo8">
    <w:name w:val="heading 8"/>
    <w:basedOn w:val="Normal"/>
    <w:next w:val="Normal"/>
    <w:qFormat/>
    <w:rsid w:val="003C3D12"/>
    <w:pPr>
      <w:keepNext/>
      <w:jc w:val="center"/>
      <w:outlineLvl w:val="7"/>
    </w:pPr>
    <w:rPr>
      <w:rFonts w:ascii="Arial" w:hAnsi="Arial" w:cs="Arial"/>
      <w:b/>
      <w:bCs/>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55A41"/>
    <w:pPr>
      <w:tabs>
        <w:tab w:val="center" w:pos="4252"/>
        <w:tab w:val="right" w:pos="8504"/>
      </w:tabs>
    </w:pPr>
    <w:rPr>
      <w:lang w:eastAsia="x-none"/>
    </w:rPr>
  </w:style>
  <w:style w:type="paragraph" w:styleId="Piedepgina">
    <w:name w:val="footer"/>
    <w:basedOn w:val="Normal"/>
    <w:rsid w:val="00555A41"/>
    <w:pPr>
      <w:tabs>
        <w:tab w:val="center" w:pos="4252"/>
        <w:tab w:val="right" w:pos="8504"/>
      </w:tabs>
    </w:pPr>
  </w:style>
  <w:style w:type="paragraph" w:styleId="Textoindependiente">
    <w:name w:val="Body Text"/>
    <w:basedOn w:val="Normal"/>
    <w:rsid w:val="00555A41"/>
    <w:pPr>
      <w:jc w:val="both"/>
    </w:pPr>
    <w:rPr>
      <w:rFonts w:ascii="Arial" w:hAnsi="Arial"/>
      <w:sz w:val="24"/>
      <w:lang w:val="es-CO"/>
    </w:rPr>
  </w:style>
  <w:style w:type="paragraph" w:customStyle="1" w:styleId="Default">
    <w:name w:val="Default"/>
    <w:rsid w:val="0006786D"/>
    <w:pPr>
      <w:autoSpaceDE w:val="0"/>
      <w:autoSpaceDN w:val="0"/>
      <w:adjustRightInd w:val="0"/>
    </w:pPr>
    <w:rPr>
      <w:rFonts w:ascii="Arial" w:hAnsi="Arial" w:cs="Arial"/>
      <w:color w:val="000000"/>
      <w:sz w:val="24"/>
      <w:szCs w:val="24"/>
      <w:lang w:val="es-CO" w:eastAsia="es-CO"/>
    </w:rPr>
  </w:style>
  <w:style w:type="paragraph" w:customStyle="1" w:styleId="CM18">
    <w:name w:val="CM18"/>
    <w:basedOn w:val="Default"/>
    <w:next w:val="Default"/>
    <w:uiPriority w:val="99"/>
    <w:rsid w:val="00696471"/>
    <w:rPr>
      <w:color w:val="auto"/>
    </w:rPr>
  </w:style>
  <w:style w:type="character" w:styleId="Nmerodepgina">
    <w:name w:val="page number"/>
    <w:rsid w:val="002553C1"/>
  </w:style>
  <w:style w:type="paragraph" w:styleId="Textodeglobo">
    <w:name w:val="Balloon Text"/>
    <w:basedOn w:val="Normal"/>
    <w:link w:val="TextodegloboCar"/>
    <w:rsid w:val="00453DC5"/>
    <w:rPr>
      <w:rFonts w:ascii="Tahoma" w:hAnsi="Tahoma"/>
      <w:sz w:val="16"/>
      <w:szCs w:val="16"/>
      <w:lang w:eastAsia="x-none"/>
    </w:rPr>
  </w:style>
  <w:style w:type="character" w:customStyle="1" w:styleId="TextodegloboCar">
    <w:name w:val="Texto de globo Car"/>
    <w:link w:val="Textodeglobo"/>
    <w:rsid w:val="00453DC5"/>
    <w:rPr>
      <w:rFonts w:ascii="Tahoma" w:hAnsi="Tahoma" w:cs="Tahoma"/>
      <w:sz w:val="16"/>
      <w:szCs w:val="16"/>
      <w:lang w:val="es-ES"/>
    </w:rPr>
  </w:style>
  <w:style w:type="character" w:styleId="Hipervnculo">
    <w:name w:val="Hyperlink"/>
    <w:rsid w:val="007E0C25"/>
    <w:rPr>
      <w:color w:val="0000FF"/>
      <w:u w:val="single"/>
    </w:rPr>
  </w:style>
  <w:style w:type="paragraph" w:styleId="Prrafodelista">
    <w:name w:val="List Paragraph"/>
    <w:basedOn w:val="Normal"/>
    <w:uiPriority w:val="34"/>
    <w:qFormat/>
    <w:rsid w:val="006E141D"/>
    <w:pPr>
      <w:autoSpaceDE/>
      <w:autoSpaceDN/>
      <w:spacing w:after="200" w:line="276" w:lineRule="auto"/>
      <w:ind w:left="720"/>
      <w:contextualSpacing/>
    </w:pPr>
    <w:rPr>
      <w:rFonts w:ascii="Calibri" w:eastAsia="Calibri" w:hAnsi="Calibri"/>
      <w:sz w:val="22"/>
      <w:szCs w:val="22"/>
      <w:lang w:val="es-CO" w:eastAsia="en-US"/>
    </w:rPr>
  </w:style>
  <w:style w:type="paragraph" w:styleId="Textonotapie">
    <w:name w:val="footnote text"/>
    <w:basedOn w:val="Normal"/>
    <w:link w:val="TextonotapieCar"/>
    <w:uiPriority w:val="99"/>
    <w:unhideWhenUsed/>
    <w:rsid w:val="006E141D"/>
    <w:pPr>
      <w:autoSpaceDE/>
      <w:autoSpaceDN/>
    </w:pPr>
    <w:rPr>
      <w:rFonts w:ascii="Calibri" w:eastAsia="Calibri" w:hAnsi="Calibri"/>
      <w:lang w:val="x-none" w:eastAsia="en-US"/>
    </w:rPr>
  </w:style>
  <w:style w:type="character" w:customStyle="1" w:styleId="TextonotapieCar">
    <w:name w:val="Texto nota pie Car"/>
    <w:link w:val="Textonotapie"/>
    <w:uiPriority w:val="99"/>
    <w:rsid w:val="006E141D"/>
    <w:rPr>
      <w:rFonts w:ascii="Calibri" w:eastAsia="Calibri" w:hAnsi="Calibri"/>
      <w:lang w:eastAsia="en-US"/>
    </w:rPr>
  </w:style>
  <w:style w:type="character" w:styleId="Refdenotaalpie">
    <w:name w:val="footnote reference"/>
    <w:uiPriority w:val="99"/>
    <w:unhideWhenUsed/>
    <w:rsid w:val="006E141D"/>
    <w:rPr>
      <w:vertAlign w:val="superscript"/>
    </w:rPr>
  </w:style>
  <w:style w:type="character" w:customStyle="1" w:styleId="EncabezadoCar">
    <w:name w:val="Encabezado Car"/>
    <w:link w:val="Encabezado"/>
    <w:uiPriority w:val="99"/>
    <w:rsid w:val="00E7381E"/>
    <w:rPr>
      <w:lang w:val="es-ES"/>
    </w:rPr>
  </w:style>
  <w:style w:type="table" w:styleId="Tablaconcuadrcula">
    <w:name w:val="Table Grid"/>
    <w:basedOn w:val="Tablanormal"/>
    <w:uiPriority w:val="59"/>
    <w:rsid w:val="002E65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E658A"/>
    <w:rPr>
      <w:rFonts w:ascii="Calibri" w:eastAsia="Calibri" w:hAnsi="Calibri"/>
      <w:sz w:val="22"/>
      <w:szCs w:val="22"/>
      <w:lang w:val="es-CO" w:eastAsia="en-US"/>
    </w:rPr>
  </w:style>
  <w:style w:type="character" w:styleId="Refdecomentario">
    <w:name w:val="annotation reference"/>
    <w:rsid w:val="00C62AA0"/>
    <w:rPr>
      <w:sz w:val="16"/>
      <w:szCs w:val="16"/>
    </w:rPr>
  </w:style>
  <w:style w:type="paragraph" w:styleId="Textocomentario">
    <w:name w:val="annotation text"/>
    <w:basedOn w:val="Normal"/>
    <w:link w:val="TextocomentarioCar"/>
    <w:rsid w:val="00C62AA0"/>
  </w:style>
  <w:style w:type="character" w:customStyle="1" w:styleId="TextocomentarioCar">
    <w:name w:val="Texto comentario Car"/>
    <w:link w:val="Textocomentario"/>
    <w:rsid w:val="00C62AA0"/>
    <w:rPr>
      <w:lang w:val="es-ES"/>
    </w:rPr>
  </w:style>
  <w:style w:type="paragraph" w:styleId="Asuntodelcomentario">
    <w:name w:val="annotation subject"/>
    <w:basedOn w:val="Textocomentario"/>
    <w:next w:val="Textocomentario"/>
    <w:link w:val="AsuntodelcomentarioCar"/>
    <w:rsid w:val="00C62AA0"/>
    <w:rPr>
      <w:b/>
      <w:bCs/>
    </w:rPr>
  </w:style>
  <w:style w:type="character" w:customStyle="1" w:styleId="AsuntodelcomentarioCar">
    <w:name w:val="Asunto del comentario Car"/>
    <w:link w:val="Asuntodelcomentario"/>
    <w:rsid w:val="00C62AA0"/>
    <w:rPr>
      <w:b/>
      <w:bCs/>
      <w:lang w:val="es-ES"/>
    </w:rPr>
  </w:style>
  <w:style w:type="paragraph" w:styleId="Revisin">
    <w:name w:val="Revision"/>
    <w:hidden/>
    <w:uiPriority w:val="99"/>
    <w:semiHidden/>
    <w:rsid w:val="00C62AA0"/>
    <w:rPr>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7962">
      <w:bodyDiv w:val="1"/>
      <w:marLeft w:val="0"/>
      <w:marRight w:val="0"/>
      <w:marTop w:val="0"/>
      <w:marBottom w:val="0"/>
      <w:divBdr>
        <w:top w:val="none" w:sz="0" w:space="0" w:color="auto"/>
        <w:left w:val="none" w:sz="0" w:space="0" w:color="auto"/>
        <w:bottom w:val="none" w:sz="0" w:space="0" w:color="auto"/>
        <w:right w:val="none" w:sz="0" w:space="0" w:color="auto"/>
      </w:divBdr>
    </w:div>
    <w:div w:id="466826119">
      <w:bodyDiv w:val="1"/>
      <w:marLeft w:val="0"/>
      <w:marRight w:val="0"/>
      <w:marTop w:val="0"/>
      <w:marBottom w:val="0"/>
      <w:divBdr>
        <w:top w:val="none" w:sz="0" w:space="0" w:color="auto"/>
        <w:left w:val="none" w:sz="0" w:space="0" w:color="auto"/>
        <w:bottom w:val="none" w:sz="0" w:space="0" w:color="auto"/>
        <w:right w:val="none" w:sz="0" w:space="0" w:color="auto"/>
      </w:divBdr>
    </w:div>
    <w:div w:id="897783118">
      <w:bodyDiv w:val="1"/>
      <w:marLeft w:val="0"/>
      <w:marRight w:val="0"/>
      <w:marTop w:val="0"/>
      <w:marBottom w:val="0"/>
      <w:divBdr>
        <w:top w:val="none" w:sz="0" w:space="0" w:color="auto"/>
        <w:left w:val="none" w:sz="0" w:space="0" w:color="auto"/>
        <w:bottom w:val="none" w:sz="0" w:space="0" w:color="auto"/>
        <w:right w:val="none" w:sz="0" w:space="0" w:color="auto"/>
      </w:divBdr>
    </w:div>
    <w:div w:id="904608652">
      <w:bodyDiv w:val="1"/>
      <w:marLeft w:val="0"/>
      <w:marRight w:val="0"/>
      <w:marTop w:val="0"/>
      <w:marBottom w:val="0"/>
      <w:divBdr>
        <w:top w:val="none" w:sz="0" w:space="0" w:color="auto"/>
        <w:left w:val="none" w:sz="0" w:space="0" w:color="auto"/>
        <w:bottom w:val="none" w:sz="0" w:space="0" w:color="auto"/>
        <w:right w:val="none" w:sz="0" w:space="0" w:color="auto"/>
      </w:divBdr>
    </w:div>
    <w:div w:id="1114977314">
      <w:bodyDiv w:val="1"/>
      <w:marLeft w:val="0"/>
      <w:marRight w:val="0"/>
      <w:marTop w:val="0"/>
      <w:marBottom w:val="0"/>
      <w:divBdr>
        <w:top w:val="none" w:sz="0" w:space="0" w:color="auto"/>
        <w:left w:val="none" w:sz="0" w:space="0" w:color="auto"/>
        <w:bottom w:val="none" w:sz="0" w:space="0" w:color="auto"/>
        <w:right w:val="none" w:sz="0" w:space="0" w:color="auto"/>
      </w:divBdr>
    </w:div>
    <w:div w:id="1164587259">
      <w:bodyDiv w:val="1"/>
      <w:marLeft w:val="0"/>
      <w:marRight w:val="0"/>
      <w:marTop w:val="0"/>
      <w:marBottom w:val="0"/>
      <w:divBdr>
        <w:top w:val="none" w:sz="0" w:space="0" w:color="auto"/>
        <w:left w:val="none" w:sz="0" w:space="0" w:color="auto"/>
        <w:bottom w:val="none" w:sz="0" w:space="0" w:color="auto"/>
        <w:right w:val="none" w:sz="0" w:space="0" w:color="auto"/>
      </w:divBdr>
    </w:div>
    <w:div w:id="1238326924">
      <w:bodyDiv w:val="1"/>
      <w:marLeft w:val="0"/>
      <w:marRight w:val="0"/>
      <w:marTop w:val="0"/>
      <w:marBottom w:val="0"/>
      <w:divBdr>
        <w:top w:val="none" w:sz="0" w:space="0" w:color="auto"/>
        <w:left w:val="none" w:sz="0" w:space="0" w:color="auto"/>
        <w:bottom w:val="none" w:sz="0" w:space="0" w:color="auto"/>
        <w:right w:val="none" w:sz="0" w:space="0" w:color="auto"/>
      </w:divBdr>
    </w:div>
    <w:div w:id="1368220880">
      <w:bodyDiv w:val="1"/>
      <w:marLeft w:val="0"/>
      <w:marRight w:val="0"/>
      <w:marTop w:val="0"/>
      <w:marBottom w:val="0"/>
      <w:divBdr>
        <w:top w:val="none" w:sz="0" w:space="0" w:color="auto"/>
        <w:left w:val="none" w:sz="0" w:space="0" w:color="auto"/>
        <w:bottom w:val="none" w:sz="0" w:space="0" w:color="auto"/>
        <w:right w:val="none" w:sz="0" w:space="0" w:color="auto"/>
      </w:divBdr>
    </w:div>
    <w:div w:id="13863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DDB33-FA5F-4A8E-9FF4-CFDDAF9B9D9E}">
  <ds:schemaRefs>
    <ds:schemaRef ds:uri="http://schemas.microsoft.com/sharepoint/v3/contenttype/forms"/>
  </ds:schemaRefs>
</ds:datastoreItem>
</file>

<file path=customXml/itemProps2.xml><?xml version="1.0" encoding="utf-8"?>
<ds:datastoreItem xmlns:ds="http://schemas.openxmlformats.org/officeDocument/2006/customXml" ds:itemID="{60A61C68-A6C0-4EA0-8CA0-EC20E38FD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0164A-D0CB-4071-BA35-8EFD9980B0D1}">
  <ds:schemaRefs>
    <ds:schemaRef ds:uri="http://schemas.openxmlformats.org/officeDocument/2006/bibliography"/>
  </ds:schemaRefs>
</ds:datastoreItem>
</file>

<file path=customXml/itemProps4.xml><?xml version="1.0" encoding="utf-8"?>
<ds:datastoreItem xmlns:ds="http://schemas.openxmlformats.org/officeDocument/2006/customXml" ds:itemID="{95F978D2-C5D2-4442-B89F-D1296078284E}">
  <ds:schemaRefs>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9056d983-1374-4724-9f8d-2ef5b64379db"/>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1505</Words>
  <Characters>8377</Characters>
  <Application>Microsoft Office Word</Application>
  <DocSecurity>0</DocSecurity>
  <Lines>335</Lines>
  <Paragraphs>154</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Pcacero</dc:creator>
  <cp:keywords/>
  <cp:lastModifiedBy>Sebastian Duran Mendez</cp:lastModifiedBy>
  <cp:revision>157</cp:revision>
  <cp:lastPrinted>2019-12-12T01:29:00Z</cp:lastPrinted>
  <dcterms:created xsi:type="dcterms:W3CDTF">2025-05-01T00:44:00Z</dcterms:created>
  <dcterms:modified xsi:type="dcterms:W3CDTF">2026-04-13T14:56:00Z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127600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